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122C44" w:rsidRPr="00891490" w14:paraId="2145A373" w14:textId="77777777" w:rsidTr="006D3A3D">
        <w:trPr>
          <w:jc w:val="center"/>
        </w:trPr>
        <w:tc>
          <w:tcPr>
            <w:tcW w:w="4247" w:type="dxa"/>
            <w:tcBorders>
              <w:right w:val="nil"/>
            </w:tcBorders>
            <w:shd w:val="clear" w:color="auto" w:fill="FF0000"/>
          </w:tcPr>
          <w:p w14:paraId="369E871B" w14:textId="77777777"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891490">
              <w:rPr>
                <w:rFonts w:ascii="Arial Narrow" w:hAnsi="Arial Narrow"/>
                <w:b/>
                <w:color w:val="FFFFFF" w:themeColor="background1"/>
              </w:rPr>
              <w:t>Carta di lavoro</w:t>
            </w:r>
          </w:p>
          <w:p w14:paraId="7AB1E016" w14:textId="77777777" w:rsidR="00122C44" w:rsidRPr="00891490" w:rsidRDefault="00455E45" w:rsidP="00455E45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Questionario relativo alla continuazione </w:t>
            </w:r>
            <w:r w:rsidR="00BE219F">
              <w:rPr>
                <w:rFonts w:ascii="Arial Narrow" w:hAnsi="Arial Narrow"/>
                <w:b/>
                <w:color w:val="FFFFFF" w:themeColor="background1"/>
              </w:rPr>
              <w:t>dell’incarico di revisione</w:t>
            </w:r>
          </w:p>
        </w:tc>
        <w:tc>
          <w:tcPr>
            <w:tcW w:w="4247" w:type="dxa"/>
            <w:tcBorders>
              <w:left w:val="nil"/>
            </w:tcBorders>
            <w:shd w:val="clear" w:color="auto" w:fill="FF0000"/>
          </w:tcPr>
          <w:p w14:paraId="14EE9E8F" w14:textId="77777777" w:rsidR="00122C44" w:rsidRPr="00891490" w:rsidRDefault="00455E45" w:rsidP="00455E4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MAN</w:t>
            </w:r>
            <w:r w:rsidR="00FE1C89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</w:rPr>
              <w:t>5</w:t>
            </w:r>
            <w:r w:rsidR="00FE1C89">
              <w:rPr>
                <w:rFonts w:ascii="Arial Narrow" w:hAnsi="Arial Narrow"/>
                <w:b/>
                <w:color w:val="FFFFFF" w:themeColor="background1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</w:rPr>
              <w:t>0</w:t>
            </w:r>
          </w:p>
        </w:tc>
      </w:tr>
      <w:tr w:rsidR="00122C44" w:rsidRPr="00891490" w14:paraId="6902C1F3" w14:textId="77777777" w:rsidTr="006D3A3D">
        <w:trPr>
          <w:jc w:val="center"/>
        </w:trPr>
        <w:tc>
          <w:tcPr>
            <w:tcW w:w="8494" w:type="dxa"/>
            <w:gridSpan w:val="2"/>
          </w:tcPr>
          <w:p w14:paraId="079C41E8" w14:textId="77777777"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122C44" w:rsidRPr="00891490" w14:paraId="4EAF5DB1" w14:textId="77777777" w:rsidTr="006D3A3D">
              <w:tc>
                <w:tcPr>
                  <w:tcW w:w="4134" w:type="dxa"/>
                </w:tcPr>
                <w:p w14:paraId="10990D91" w14:textId="77777777" w:rsidR="00122C44" w:rsidRPr="00891490" w:rsidRDefault="00122C44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Società: X</w:t>
                  </w:r>
                  <w:r w:rsidR="00FE1C89">
                    <w:rPr>
                      <w:rFonts w:ascii="Arial Narrow" w:hAnsi="Arial Narrow"/>
                    </w:rPr>
                    <w:t>YZ</w:t>
                  </w:r>
                  <w:r w:rsidR="0012688D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12688D">
                    <w:rPr>
                      <w:rFonts w:ascii="Arial Narrow" w:hAnsi="Arial Narrow"/>
                    </w:rPr>
                    <w:t>SpA</w:t>
                  </w:r>
                  <w:proofErr w:type="spellEnd"/>
                </w:p>
              </w:tc>
              <w:tc>
                <w:tcPr>
                  <w:tcW w:w="4134" w:type="dxa"/>
                </w:tcPr>
                <w:p w14:paraId="5AAA3490" w14:textId="0C8ACAEB" w:rsidR="00122C44" w:rsidRPr="00891490" w:rsidRDefault="00122C44" w:rsidP="006D3A3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 xml:space="preserve">Bilancio </w:t>
                  </w:r>
                  <w:r w:rsidR="0012688D">
                    <w:rPr>
                      <w:rFonts w:ascii="Arial Narrow" w:hAnsi="Arial Narrow"/>
                    </w:rPr>
                    <w:t>d’esercizio chiuso al 31/12/20</w:t>
                  </w:r>
                  <w:r w:rsidR="00F60E76">
                    <w:rPr>
                      <w:rFonts w:ascii="Arial Narrow" w:hAnsi="Arial Narrow"/>
                    </w:rPr>
                    <w:t>XX</w:t>
                  </w:r>
                </w:p>
              </w:tc>
            </w:tr>
            <w:tr w:rsidR="00122C44" w:rsidRPr="00891490" w14:paraId="71978BA8" w14:textId="77777777" w:rsidTr="006D3A3D">
              <w:tc>
                <w:tcPr>
                  <w:tcW w:w="8268" w:type="dxa"/>
                  <w:gridSpan w:val="2"/>
                </w:tcPr>
                <w:p w14:paraId="38AA1FED" w14:textId="77777777" w:rsidR="00122C44" w:rsidRPr="00891490" w:rsidRDefault="00122C44" w:rsidP="006D3A3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FE1C89" w:rsidRPr="00891490" w14:paraId="410BA672" w14:textId="77777777" w:rsidTr="00144756"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DD58D96" w14:textId="77777777"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P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4A5A083" w14:textId="77777777"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</w:tc>
            </w:tr>
            <w:tr w:rsidR="00FE1C89" w:rsidRPr="00891490" w14:paraId="094EECB2" w14:textId="77777777" w:rsidTr="00144756">
              <w:tc>
                <w:tcPr>
                  <w:tcW w:w="4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6FD299E" w14:textId="77777777" w:rsidR="00FE1C89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M1</w:t>
                  </w:r>
                </w:p>
                <w:p w14:paraId="69329A2B" w14:textId="77777777"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M2</w:t>
                  </w:r>
                </w:p>
              </w:tc>
              <w:tc>
                <w:tcPr>
                  <w:tcW w:w="4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51428E" w14:textId="77777777" w:rsidR="00FE1C89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  <w:p w14:paraId="297320BF" w14:textId="77777777" w:rsidR="00FE1C89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  <w:p w14:paraId="40BC0D16" w14:textId="77777777"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14:paraId="33DB2B20" w14:textId="77777777"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p w14:paraId="7A1248E2" w14:textId="77777777"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268"/>
              <w:gridCol w:w="1380"/>
              <w:gridCol w:w="2620"/>
            </w:tblGrid>
            <w:tr w:rsidR="00122C44" w:rsidRPr="00C13DEF" w14:paraId="0A822184" w14:textId="77777777" w:rsidTr="006D3A3D">
              <w:tc>
                <w:tcPr>
                  <w:tcW w:w="4268" w:type="dxa"/>
                </w:tcPr>
                <w:p w14:paraId="2A82F346" w14:textId="77777777" w:rsidR="00122C44" w:rsidRPr="00C13DEF" w:rsidRDefault="00122C44" w:rsidP="006D3A3D">
                  <w:pPr>
                    <w:spacing w:line="36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lang w:eastAsia="it-IT"/>
                    </w:rPr>
                  </w:pPr>
                  <w:r w:rsidRPr="00C13DEF">
                    <w:rPr>
                      <w:rFonts w:ascii="Arial Narrow" w:eastAsia="Times New Roman" w:hAnsi="Arial Narrow" w:cs="Times New Roman"/>
                      <w:b/>
                      <w:lang w:eastAsia="it-IT"/>
                    </w:rPr>
                    <w:t>DOMANDE</w:t>
                  </w:r>
                </w:p>
              </w:tc>
              <w:tc>
                <w:tcPr>
                  <w:tcW w:w="1380" w:type="dxa"/>
                </w:tcPr>
                <w:p w14:paraId="7CBB90EE" w14:textId="77777777" w:rsidR="00122C44" w:rsidRPr="00C13DEF" w:rsidRDefault="00122C44" w:rsidP="006D3A3D">
                  <w:pPr>
                    <w:spacing w:line="36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lang w:eastAsia="it-IT"/>
                    </w:rPr>
                  </w:pPr>
                  <w:r w:rsidRPr="00C13DEF">
                    <w:rPr>
                      <w:rFonts w:ascii="Arial Narrow" w:eastAsia="Times New Roman" w:hAnsi="Arial Narrow" w:cs="Times New Roman"/>
                      <w:b/>
                      <w:lang w:eastAsia="it-IT"/>
                    </w:rPr>
                    <w:t>SI/NO/NA</w:t>
                  </w:r>
                </w:p>
              </w:tc>
              <w:tc>
                <w:tcPr>
                  <w:tcW w:w="2620" w:type="dxa"/>
                </w:tcPr>
                <w:p w14:paraId="42B3E5C2" w14:textId="77777777" w:rsidR="00122C44" w:rsidRPr="00C13DEF" w:rsidRDefault="00122C44" w:rsidP="006D3A3D">
                  <w:pPr>
                    <w:spacing w:line="36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lang w:eastAsia="it-IT"/>
                    </w:rPr>
                  </w:pPr>
                  <w:r w:rsidRPr="00C13DEF">
                    <w:rPr>
                      <w:rFonts w:ascii="Arial Narrow" w:eastAsia="Times New Roman" w:hAnsi="Arial Narrow" w:cs="Times New Roman"/>
                      <w:b/>
                      <w:lang w:eastAsia="it-IT"/>
                    </w:rPr>
                    <w:t>COMMENTI</w:t>
                  </w:r>
                </w:p>
              </w:tc>
            </w:tr>
            <w:tr w:rsidR="00A30D19" w14:paraId="20B6AB59" w14:textId="77777777" w:rsidTr="006D3A3D">
              <w:tc>
                <w:tcPr>
                  <w:tcW w:w="4268" w:type="dxa"/>
                </w:tcPr>
                <w:p w14:paraId="3D4C76DB" w14:textId="087D5C0D" w:rsidR="00A30D19" w:rsidRPr="00AC2A50" w:rsidRDefault="00A30D19" w:rsidP="00A30D19">
                  <w:p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  <w:b/>
                    </w:rPr>
                  </w:pPr>
                  <w:r w:rsidRPr="00AC2A50">
                    <w:rPr>
                      <w:rFonts w:ascii="Arial Narrow" w:eastAsia="Calibri" w:hAnsi="Arial Narrow" w:cs="Times New Roman"/>
                      <w:b/>
                    </w:rPr>
                    <w:t xml:space="preserve">Affidabilità della società (sia a livello di assetto proprietario che di </w:t>
                  </w:r>
                  <w:r w:rsidR="00CA0618">
                    <w:rPr>
                      <w:rFonts w:ascii="Arial Narrow" w:eastAsia="Calibri" w:hAnsi="Arial Narrow" w:cs="Times New Roman"/>
                      <w:b/>
                    </w:rPr>
                    <w:t>d</w:t>
                  </w:r>
                  <w:r w:rsidRPr="00AC2A50">
                    <w:rPr>
                      <w:rFonts w:ascii="Arial Narrow" w:eastAsia="Calibri" w:hAnsi="Arial Narrow" w:cs="Times New Roman"/>
                      <w:b/>
                    </w:rPr>
                    <w:t>irezione)</w:t>
                  </w:r>
                </w:p>
                <w:p w14:paraId="39788859" w14:textId="77777777" w:rsidR="00A30D19" w:rsidRPr="00AC2A50" w:rsidRDefault="00A30D19" w:rsidP="00A30D19">
                  <w:pPr>
                    <w:numPr>
                      <w:ilvl w:val="0"/>
                      <w:numId w:val="30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>Sono state considerate e valutate accettabili le eventuali variazioni significative rispetto allo scorso esercizio dei seguenti aspetti:</w:t>
                  </w:r>
                </w:p>
                <w:p w14:paraId="6013A189" w14:textId="77777777" w:rsidR="00A30D19" w:rsidRPr="00AC2A50" w:rsidRDefault="00A30D19" w:rsidP="00A30D19">
                  <w:pPr>
                    <w:numPr>
                      <w:ilvl w:val="0"/>
                      <w:numId w:val="29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 xml:space="preserve">compagine sociale e composizione del </w:t>
                  </w:r>
                  <w:r w:rsidRPr="00CA0618">
                    <w:rPr>
                      <w:rFonts w:ascii="Arial Narrow" w:eastAsia="Calibri" w:hAnsi="Arial Narrow" w:cs="Times New Roman"/>
                      <w:i/>
                    </w:rPr>
                    <w:t>management</w:t>
                  </w:r>
                  <w:r w:rsidRPr="00AC2A50">
                    <w:rPr>
                      <w:rFonts w:ascii="Arial Narrow" w:eastAsia="Calibri" w:hAnsi="Arial Narrow" w:cs="Times New Roman"/>
                    </w:rPr>
                    <w:t>;</w:t>
                  </w:r>
                </w:p>
                <w:p w14:paraId="6C28F17D" w14:textId="77777777" w:rsidR="00A30D19" w:rsidRPr="00AC2A50" w:rsidRDefault="00A30D19" w:rsidP="00A30D19">
                  <w:pPr>
                    <w:numPr>
                      <w:ilvl w:val="0"/>
                      <w:numId w:val="29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>affidabilità del sistema di controllo interno;</w:t>
                  </w:r>
                </w:p>
                <w:p w14:paraId="79C537C0" w14:textId="77777777" w:rsidR="00A30D19" w:rsidRPr="00AC2A50" w:rsidRDefault="00A30D19" w:rsidP="00A30D19">
                  <w:pPr>
                    <w:numPr>
                      <w:ilvl w:val="0"/>
                      <w:numId w:val="29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 xml:space="preserve">composizione degli organi di </w:t>
                  </w:r>
                  <w:proofErr w:type="spellStart"/>
                  <w:r w:rsidRPr="00AC2A50">
                    <w:rPr>
                      <w:rFonts w:ascii="Arial Narrow" w:eastAsia="Calibri" w:hAnsi="Arial Narrow" w:cs="Times New Roman"/>
                      <w:i/>
                    </w:rPr>
                    <w:t>governance</w:t>
                  </w:r>
                  <w:proofErr w:type="spellEnd"/>
                  <w:r w:rsidRPr="00AC2A50">
                    <w:rPr>
                      <w:rFonts w:ascii="Arial Narrow" w:eastAsia="Calibri" w:hAnsi="Arial Narrow" w:cs="Times New Roman"/>
                    </w:rPr>
                    <w:t xml:space="preserve"> (in caso affermativo indagare le motivazioni);</w:t>
                  </w:r>
                </w:p>
                <w:p w14:paraId="1DF8BDF5" w14:textId="74F15C64" w:rsidR="00A30D19" w:rsidRPr="00AC2A50" w:rsidRDefault="00A30D19" w:rsidP="00A30D19">
                  <w:pPr>
                    <w:numPr>
                      <w:ilvl w:val="0"/>
                      <w:numId w:val="29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 xml:space="preserve">insorgere di dubbi circa l’integrità del cliente (per esempio, commenti apparsi sulla stampa o su altri media relativi alla società e/o ai membri della sua </w:t>
                  </w:r>
                  <w:r w:rsidR="00CA0618">
                    <w:rPr>
                      <w:rFonts w:ascii="Arial Narrow" w:eastAsia="Calibri" w:hAnsi="Arial Narrow" w:cs="Times New Roman"/>
                    </w:rPr>
                    <w:t>d</w:t>
                  </w:r>
                  <w:r w:rsidRPr="00AC2A50">
                    <w:rPr>
                      <w:rFonts w:ascii="Arial Narrow" w:eastAsia="Calibri" w:hAnsi="Arial Narrow" w:cs="Times New Roman"/>
                    </w:rPr>
                    <w:t>irezione);</w:t>
                  </w:r>
                </w:p>
                <w:p w14:paraId="6A9C278F" w14:textId="77777777" w:rsidR="00A30D19" w:rsidRPr="00AC2A50" w:rsidRDefault="00A30D19" w:rsidP="00A30D19">
                  <w:pPr>
                    <w:numPr>
                      <w:ilvl w:val="0"/>
                      <w:numId w:val="29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>altre significative variazioni.</w:t>
                  </w:r>
                </w:p>
              </w:tc>
              <w:tc>
                <w:tcPr>
                  <w:tcW w:w="1380" w:type="dxa"/>
                </w:tcPr>
                <w:p w14:paraId="03A684B3" w14:textId="77777777" w:rsidR="00A30D19" w:rsidRDefault="00A30D19" w:rsidP="00A30D19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  <w:tc>
                <w:tcPr>
                  <w:tcW w:w="2620" w:type="dxa"/>
                </w:tcPr>
                <w:p w14:paraId="263D8226" w14:textId="77777777" w:rsidR="00A30D19" w:rsidRDefault="00A30D19" w:rsidP="00A30D19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</w:tr>
            <w:tr w:rsidR="00A30D19" w14:paraId="4196B648" w14:textId="77777777" w:rsidTr="006D3A3D">
              <w:tc>
                <w:tcPr>
                  <w:tcW w:w="4268" w:type="dxa"/>
                </w:tcPr>
                <w:p w14:paraId="1AD82A02" w14:textId="77777777" w:rsidR="00A30D19" w:rsidRPr="00AC2A50" w:rsidRDefault="00A30D19" w:rsidP="00A30D19">
                  <w:p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  <w:b/>
                    </w:rPr>
                  </w:pPr>
                  <w:r w:rsidRPr="00AC2A50">
                    <w:rPr>
                      <w:rFonts w:ascii="Arial Narrow" w:eastAsia="Calibri" w:hAnsi="Arial Narrow" w:cs="Times New Roman"/>
                      <w:b/>
                    </w:rPr>
                    <w:t>Indicatori economico- finanziari</w:t>
                  </w:r>
                </w:p>
                <w:p w14:paraId="71D05CCD" w14:textId="77777777" w:rsidR="00A30D19" w:rsidRPr="00AC2A50" w:rsidRDefault="00A30D19" w:rsidP="00A30D19">
                  <w:pPr>
                    <w:numPr>
                      <w:ilvl w:val="0"/>
                      <w:numId w:val="30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>Sono state considerate e valutate accettabili le eventuali variazioni significative rispetto allo scorso esercizio dei seguenti aspetti:</w:t>
                  </w:r>
                </w:p>
                <w:p w14:paraId="618508A6" w14:textId="3EB72278" w:rsidR="00A30D19" w:rsidRPr="00AC2A50" w:rsidRDefault="00A30D19" w:rsidP="00A30D19">
                  <w:pPr>
                    <w:numPr>
                      <w:ilvl w:val="0"/>
                      <w:numId w:val="31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>principali ind</w:t>
                  </w:r>
                  <w:r w:rsidR="00CA0618">
                    <w:rPr>
                      <w:rFonts w:ascii="Arial Narrow" w:eastAsia="Calibri" w:hAnsi="Arial Narrow" w:cs="Times New Roman"/>
                    </w:rPr>
                    <w:t>icatori di carattere economico-</w:t>
                  </w:r>
                  <w:r w:rsidRPr="00AC2A50">
                    <w:rPr>
                      <w:rFonts w:ascii="Arial Narrow" w:eastAsia="Calibri" w:hAnsi="Arial Narrow" w:cs="Times New Roman"/>
                    </w:rPr>
                    <w:t>finanziario (ad esempio, fatturato, risultato d’esercizio, indici di liquidità, posizione finanziaria netta, ecc.);</w:t>
                  </w:r>
                </w:p>
                <w:p w14:paraId="47A9C2F6" w14:textId="77777777" w:rsidR="00A30D19" w:rsidRDefault="00A30D19" w:rsidP="00A30D19">
                  <w:pPr>
                    <w:numPr>
                      <w:ilvl w:val="0"/>
                      <w:numId w:val="31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lastRenderedPageBreak/>
                    <w:t>condizioni in essere presso i principali istituti di credito;</w:t>
                  </w:r>
                </w:p>
                <w:p w14:paraId="56A93E78" w14:textId="77777777" w:rsidR="00720BE7" w:rsidRPr="00AC2A50" w:rsidRDefault="00720BE7" w:rsidP="00A30D19">
                  <w:pPr>
                    <w:numPr>
                      <w:ilvl w:val="0"/>
                      <w:numId w:val="31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>
                    <w:rPr>
                      <w:rFonts w:ascii="Arial Narrow" w:eastAsia="Calibri" w:hAnsi="Arial Narrow" w:cs="Times New Roman"/>
                    </w:rPr>
                    <w:t>significative variazioni avvenute nel mercato di riferimento (fattori di crisi settoriali, congiuntura negativa del mercato, decisioni politiche o monetarie o economiche o fiscali in grado di incidere significativamente sulla società ed il contesto in cui opera)</w:t>
                  </w:r>
                </w:p>
                <w:p w14:paraId="35CE5909" w14:textId="77777777" w:rsidR="00A30D19" w:rsidRPr="00AC2A50" w:rsidRDefault="00A30D19" w:rsidP="00A30D19">
                  <w:pPr>
                    <w:numPr>
                      <w:ilvl w:val="0"/>
                      <w:numId w:val="31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>altre variazioni (specificare).</w:t>
                  </w:r>
                </w:p>
              </w:tc>
              <w:tc>
                <w:tcPr>
                  <w:tcW w:w="1380" w:type="dxa"/>
                </w:tcPr>
                <w:p w14:paraId="483A8722" w14:textId="77777777" w:rsidR="00A30D19" w:rsidRDefault="00A30D19" w:rsidP="00A30D19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  <w:tc>
                <w:tcPr>
                  <w:tcW w:w="2620" w:type="dxa"/>
                </w:tcPr>
                <w:p w14:paraId="085F0D87" w14:textId="77777777" w:rsidR="00A30D19" w:rsidRDefault="00A30D19" w:rsidP="00A30D19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</w:tr>
            <w:tr w:rsidR="00A30D19" w14:paraId="10F24217" w14:textId="77777777" w:rsidTr="006D3A3D">
              <w:tc>
                <w:tcPr>
                  <w:tcW w:w="4268" w:type="dxa"/>
                </w:tcPr>
                <w:p w14:paraId="4DDBB183" w14:textId="77777777" w:rsidR="00A30D19" w:rsidRPr="00AC2A50" w:rsidRDefault="00A30D19" w:rsidP="00A30D19">
                  <w:p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  <w:b/>
                    </w:rPr>
                  </w:pPr>
                  <w:r w:rsidRPr="00AC2A50">
                    <w:rPr>
                      <w:rFonts w:ascii="Arial Narrow" w:eastAsia="Calibri" w:hAnsi="Arial Narrow" w:cs="Times New Roman"/>
                      <w:b/>
                    </w:rPr>
                    <w:t>Adeguatezza delle risorse professionali impiegate dal revisore:</w:t>
                  </w:r>
                </w:p>
                <w:p w14:paraId="0035C1C4" w14:textId="77777777" w:rsidR="00A30D19" w:rsidRPr="00AC2A50" w:rsidRDefault="00A30D19" w:rsidP="00A30D19">
                  <w:pPr>
                    <w:numPr>
                      <w:ilvl w:val="0"/>
                      <w:numId w:val="30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>Si possono ragionevolmente escludere cambiamenti nel settore in cui opera il cliente o problematiche che potrebbero rendere necessaria una nuova valutazione della competenza e del livello di specializzazione del personale di revisione o della necessità di ricorrere all’utilizzo di esperti?</w:t>
                  </w:r>
                </w:p>
              </w:tc>
              <w:tc>
                <w:tcPr>
                  <w:tcW w:w="1380" w:type="dxa"/>
                </w:tcPr>
                <w:p w14:paraId="29572125" w14:textId="77777777" w:rsidR="00A30D19" w:rsidRDefault="00A30D19" w:rsidP="00A30D19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  <w:tc>
                <w:tcPr>
                  <w:tcW w:w="2620" w:type="dxa"/>
                </w:tcPr>
                <w:p w14:paraId="0E9F50FA" w14:textId="77777777" w:rsidR="00A30D19" w:rsidRDefault="00A30D19" w:rsidP="00A30D19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</w:tr>
            <w:tr w:rsidR="00A30D19" w14:paraId="7E90FD39" w14:textId="77777777" w:rsidTr="006D3A3D">
              <w:tc>
                <w:tcPr>
                  <w:tcW w:w="4268" w:type="dxa"/>
                </w:tcPr>
                <w:p w14:paraId="38DE39D5" w14:textId="77777777" w:rsidR="00A30D19" w:rsidRPr="00AC2A50" w:rsidRDefault="00A30D19" w:rsidP="00A30D19">
                  <w:p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  <w:b/>
                    </w:rPr>
                  </w:pPr>
                  <w:r w:rsidRPr="00AC2A50">
                    <w:rPr>
                      <w:rFonts w:ascii="Arial Narrow" w:eastAsia="Calibri" w:hAnsi="Arial Narrow" w:cs="Times New Roman"/>
                      <w:b/>
                    </w:rPr>
                    <w:t>Altri aspetti da considerare</w:t>
                  </w:r>
                </w:p>
                <w:p w14:paraId="405D732D" w14:textId="77777777" w:rsidR="00A30D19" w:rsidRPr="00AC2A50" w:rsidRDefault="00A30D19" w:rsidP="00A30D19">
                  <w:pPr>
                    <w:numPr>
                      <w:ilvl w:val="0"/>
                      <w:numId w:val="30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>Si possono ragionevolmente escludere ulteriori problematiche che potrebbero rendere necessaria una nuova valutazione in merito alla continuazione dell’incarico con il cliente? Ad esempio:</w:t>
                  </w:r>
                </w:p>
                <w:p w14:paraId="5C18542C" w14:textId="77777777" w:rsidR="00A30D19" w:rsidRPr="00AC2A50" w:rsidRDefault="00A30D19" w:rsidP="00A30D19">
                  <w:pPr>
                    <w:numPr>
                      <w:ilvl w:val="0"/>
                      <w:numId w:val="32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>incertezze relative alla continuità aziendale;</w:t>
                  </w:r>
                </w:p>
                <w:p w14:paraId="2C61F91F" w14:textId="77777777" w:rsidR="00A30D19" w:rsidRPr="00AC2A50" w:rsidRDefault="00A30D19" w:rsidP="00A30D19">
                  <w:pPr>
                    <w:numPr>
                      <w:ilvl w:val="0"/>
                      <w:numId w:val="32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>contenziosi o contestazioni di rilievo sorti successivamente all’accettazione dell’incarico;</w:t>
                  </w:r>
                </w:p>
                <w:p w14:paraId="459EEBA2" w14:textId="77777777" w:rsidR="00A30D19" w:rsidRPr="00AC2A50" w:rsidRDefault="00A30D19" w:rsidP="00A30D19">
                  <w:pPr>
                    <w:numPr>
                      <w:ilvl w:val="0"/>
                      <w:numId w:val="32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>conflitti su problematiche contabili o di revisione sorti nel corso della revisione del bilancio dell’esercizio precedente;</w:t>
                  </w:r>
                </w:p>
                <w:p w14:paraId="7CC289BA" w14:textId="77777777" w:rsidR="00A30D19" w:rsidRPr="00AC2A50" w:rsidRDefault="00A30D19" w:rsidP="00A30D19">
                  <w:pPr>
                    <w:numPr>
                      <w:ilvl w:val="0"/>
                      <w:numId w:val="32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>
                    <w:rPr>
                      <w:rFonts w:ascii="Arial Narrow" w:eastAsia="Calibri" w:hAnsi="Arial Narrow" w:cs="Times New Roman"/>
                    </w:rPr>
                    <w:t>eventuali limitazioni imposte dal cliente durante lo svolgimento della revisione del bilancio dell’esercizio precedente.</w:t>
                  </w:r>
                </w:p>
              </w:tc>
              <w:tc>
                <w:tcPr>
                  <w:tcW w:w="1380" w:type="dxa"/>
                </w:tcPr>
                <w:p w14:paraId="4E2AA9A4" w14:textId="77777777" w:rsidR="00A30D19" w:rsidRDefault="00A30D19" w:rsidP="00A30D19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  <w:tc>
                <w:tcPr>
                  <w:tcW w:w="2620" w:type="dxa"/>
                </w:tcPr>
                <w:p w14:paraId="55BAE932" w14:textId="77777777" w:rsidR="00A30D19" w:rsidRDefault="00A30D19" w:rsidP="00A30D19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</w:tr>
            <w:tr w:rsidR="00A30D19" w14:paraId="0AF0A52E" w14:textId="77777777" w:rsidTr="006D3A3D">
              <w:tc>
                <w:tcPr>
                  <w:tcW w:w="4268" w:type="dxa"/>
                </w:tcPr>
                <w:p w14:paraId="1B4F80A6" w14:textId="77777777" w:rsidR="00A30D19" w:rsidRPr="00AC2A50" w:rsidRDefault="00A30D19" w:rsidP="00A30D19">
                  <w:p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  <w:b/>
                    </w:rPr>
                  </w:pPr>
                  <w:r w:rsidRPr="00AC2A50">
                    <w:rPr>
                      <w:rFonts w:ascii="Arial Narrow" w:eastAsia="Calibri" w:hAnsi="Arial Narrow" w:cs="Times New Roman"/>
                      <w:b/>
                    </w:rPr>
                    <w:lastRenderedPageBreak/>
                    <w:t>Valutazione dell’indipendenza</w:t>
                  </w:r>
                </w:p>
                <w:p w14:paraId="54072D68" w14:textId="77777777" w:rsidR="00A30D19" w:rsidRPr="00AC2A50" w:rsidDel="009277F9" w:rsidRDefault="00A30D19" w:rsidP="00A30D19">
                  <w:pPr>
                    <w:numPr>
                      <w:ilvl w:val="0"/>
                      <w:numId w:val="30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  <w:bCs/>
                    </w:rPr>
                  </w:pPr>
                  <w:r w:rsidRPr="00AC2A50">
                    <w:rPr>
                      <w:rFonts w:ascii="Arial Narrow" w:eastAsia="Calibri" w:hAnsi="Arial Narrow" w:cs="Times New Roman"/>
                      <w:bCs/>
                    </w:rPr>
                    <w:t>È stato effettuato un aggiornamento della valutazione dell’indipendenza al fine di mantenere i rapporti con il cliente? Sono state ottenute le attestazioni di indipendenza necessarie?</w:t>
                  </w:r>
                </w:p>
                <w:p w14:paraId="3265C51A" w14:textId="77777777" w:rsidR="00A30D19" w:rsidRPr="00AC2A50" w:rsidRDefault="00A30D19" w:rsidP="00A30D19">
                  <w:pPr>
                    <w:numPr>
                      <w:ilvl w:val="0"/>
                      <w:numId w:val="30"/>
                    </w:numPr>
                    <w:spacing w:after="0"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AC2A50" w:rsidDel="009277F9">
                    <w:rPr>
                      <w:rFonts w:ascii="Arial Narrow" w:eastAsia="Calibri" w:hAnsi="Arial Narrow" w:cs="Times New Roman"/>
                      <w:bCs/>
                    </w:rPr>
                    <w:t xml:space="preserve">Sono state adottate </w:t>
                  </w:r>
                  <w:r w:rsidRPr="00AC2A50">
                    <w:rPr>
                      <w:rFonts w:ascii="Arial Narrow" w:eastAsia="Calibri" w:hAnsi="Arial Narrow" w:cs="Times New Roman"/>
                      <w:bCs/>
                    </w:rPr>
                    <w:t>salvaguardie sufficienti tali da eliminare o ridurre ad un livello accettabile le minacce all’indipendenza</w:t>
                  </w:r>
                  <w:r w:rsidRPr="00AC2A50" w:rsidDel="009277F9">
                    <w:rPr>
                      <w:rFonts w:ascii="Arial Narrow" w:eastAsia="Calibri" w:hAnsi="Arial Narrow" w:cs="Times New Roman"/>
                      <w:bCs/>
                    </w:rPr>
                    <w:t>?</w:t>
                  </w:r>
                </w:p>
              </w:tc>
              <w:tc>
                <w:tcPr>
                  <w:tcW w:w="1380" w:type="dxa"/>
                </w:tcPr>
                <w:p w14:paraId="05473384" w14:textId="77777777" w:rsidR="00A30D19" w:rsidRDefault="00A30D19" w:rsidP="00A30D19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  <w:tc>
                <w:tcPr>
                  <w:tcW w:w="2620" w:type="dxa"/>
                </w:tcPr>
                <w:p w14:paraId="179003DB" w14:textId="77777777" w:rsidR="00A30D19" w:rsidRDefault="00A30D19" w:rsidP="00A30D19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</w:tr>
            <w:tr w:rsidR="00A30D19" w14:paraId="72041D1D" w14:textId="77777777" w:rsidTr="006D3A3D">
              <w:tc>
                <w:tcPr>
                  <w:tcW w:w="4268" w:type="dxa"/>
                </w:tcPr>
                <w:p w14:paraId="62FE35CE" w14:textId="77777777" w:rsidR="00A30D19" w:rsidRPr="00350C1D" w:rsidRDefault="00A30D19" w:rsidP="00A30D19">
                  <w:p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  <w:b/>
                    </w:rPr>
                  </w:pPr>
                  <w:r w:rsidRPr="00350C1D">
                    <w:rPr>
                      <w:rFonts w:ascii="Arial Narrow" w:eastAsia="Calibri" w:hAnsi="Arial Narrow" w:cs="Times New Roman"/>
                      <w:b/>
                    </w:rPr>
                    <w:t>Antiriciclaggio</w:t>
                  </w:r>
                </w:p>
                <w:p w14:paraId="71D09737" w14:textId="77777777" w:rsidR="00CA79FA" w:rsidRDefault="00D75FD6" w:rsidP="00A30D19">
                  <w:pPr>
                    <w:pStyle w:val="Paragrafoelenco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CA79FA">
                    <w:rPr>
                      <w:rFonts w:ascii="Arial Narrow" w:eastAsia="Calibri" w:hAnsi="Arial Narrow" w:cs="Times New Roman"/>
                    </w:rPr>
                    <w:t>S</w:t>
                  </w:r>
                  <w:r w:rsidR="0084138E" w:rsidRPr="00CA79FA">
                    <w:rPr>
                      <w:rFonts w:ascii="Arial Narrow" w:eastAsia="Calibri" w:hAnsi="Arial Narrow" w:cs="Times New Roman"/>
                    </w:rPr>
                    <w:t>ono state</w:t>
                  </w:r>
                  <w:r w:rsidR="00B41A68" w:rsidRPr="00CA79FA">
                    <w:rPr>
                      <w:rFonts w:ascii="Arial Narrow" w:eastAsia="Calibri" w:hAnsi="Arial Narrow" w:cs="Times New Roman"/>
                    </w:rPr>
                    <w:t xml:space="preserve"> aggiornate le 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informazioni assunte p</w:t>
                  </w:r>
                  <w:r w:rsidR="00E47AAA" w:rsidRPr="00CA79FA">
                    <w:rPr>
                      <w:rFonts w:ascii="Arial Narrow" w:eastAsia="Calibri" w:hAnsi="Arial Narrow" w:cs="Times New Roman"/>
                    </w:rPr>
                    <w:t>er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 xml:space="preserve"> escludere </w:t>
                  </w:r>
                  <w:r w:rsidR="00E47AAA" w:rsidRPr="00CA79FA">
                    <w:rPr>
                      <w:rFonts w:ascii="Arial Narrow" w:eastAsia="Calibri" w:hAnsi="Arial Narrow" w:cs="Times New Roman"/>
                    </w:rPr>
                    <w:t xml:space="preserve">ragionevolmente 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che la struttura societaria del cliente sia qualificabile come veicolo di interposizione patrimoniale?</w:t>
                  </w:r>
                </w:p>
                <w:p w14:paraId="36A0310D" w14:textId="77777777" w:rsidR="00CA79FA" w:rsidRDefault="00B41A68" w:rsidP="00A30D19">
                  <w:pPr>
                    <w:pStyle w:val="Paragrafoelenco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CA79FA">
                    <w:rPr>
                      <w:rFonts w:ascii="Arial Narrow" w:eastAsia="Calibri" w:hAnsi="Arial Narrow" w:cs="Times New Roman"/>
                    </w:rPr>
                    <w:t xml:space="preserve">Sono state aggiornate le informazioni necessarie per </w:t>
                  </w:r>
                  <w:r w:rsidR="00A30D19" w:rsidRPr="00CA79FA">
                    <w:rPr>
                      <w:rFonts w:ascii="Arial Narrow" w:eastAsia="Calibri" w:hAnsi="Arial Narrow" w:cs="Times New Roman"/>
                    </w:rPr>
                    <w:t xml:space="preserve">escludere che il cliente sia una società fiduciaria, un </w:t>
                  </w:r>
                  <w:r w:rsidR="00A30D19" w:rsidRPr="00CA79FA">
                    <w:rPr>
                      <w:rFonts w:ascii="Arial Narrow" w:eastAsia="Calibri" w:hAnsi="Arial Narrow" w:cs="Times New Roman"/>
                      <w:i/>
                    </w:rPr>
                    <w:t>trust</w:t>
                  </w:r>
                  <w:r w:rsidR="00A30D19" w:rsidRPr="00CA79FA">
                    <w:rPr>
                      <w:rFonts w:ascii="Arial Narrow" w:eastAsia="Calibri" w:hAnsi="Arial Narrow" w:cs="Times New Roman"/>
                    </w:rPr>
                    <w:t xml:space="preserve"> o una società controllata attraverso titoli al portatore oppure che sia controllato da un’entità avente una di tali forme giuridiche?</w:t>
                  </w:r>
                </w:p>
                <w:p w14:paraId="0ED50C03" w14:textId="77777777" w:rsidR="00CA79FA" w:rsidRDefault="00A30D19" w:rsidP="00A30D19">
                  <w:pPr>
                    <w:pStyle w:val="Paragrafoelenco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CA79FA">
                    <w:rPr>
                      <w:rFonts w:ascii="Arial Narrow" w:eastAsia="Calibri" w:hAnsi="Arial Narrow" w:cs="Times New Roman"/>
                    </w:rPr>
                    <w:t xml:space="preserve">Sulla base delle informazioni </w:t>
                  </w:r>
                  <w:r w:rsidR="0084138E" w:rsidRPr="00CA79FA">
                    <w:rPr>
                      <w:rFonts w:ascii="Arial Narrow" w:eastAsia="Calibri" w:hAnsi="Arial Narrow" w:cs="Times New Roman"/>
                    </w:rPr>
                    <w:t xml:space="preserve">aggiornate 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si può ragionevolmente escludere che la struttura societaria del cliente sia non coerente con l’oggetto sociale e/o con gli scopi perseguiti dal cliente e dall’eventuale gruppo di appartenenza e/o con le modalità attraverso cui lo stesso opera per raggiungerli?</w:t>
                  </w:r>
                </w:p>
                <w:p w14:paraId="3AC13C12" w14:textId="77777777" w:rsidR="00CA79FA" w:rsidRDefault="00A30D19" w:rsidP="00A30D19">
                  <w:pPr>
                    <w:pStyle w:val="Paragrafoelenco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CA79FA">
                    <w:rPr>
                      <w:rFonts w:ascii="Arial Narrow" w:eastAsia="Calibri" w:hAnsi="Arial Narrow" w:cs="Times New Roman"/>
                    </w:rPr>
                    <w:t xml:space="preserve">Sulla base delle informazioni </w:t>
                  </w:r>
                  <w:r w:rsidR="0084138E" w:rsidRPr="00CA79FA">
                    <w:rPr>
                      <w:rFonts w:ascii="Arial Narrow" w:eastAsia="Calibri" w:hAnsi="Arial Narrow" w:cs="Times New Roman"/>
                    </w:rPr>
                    <w:t xml:space="preserve">aggiornate 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si può ragionevolmente escludere che il settore in cui opera il “titolare effettivo” e l’attività effettivamente svolta dallo stesso siano incoerenti con il ruolo rivestito nella società e, più in generale, con quelle dell’eventuale gruppo?</w:t>
                  </w:r>
                </w:p>
                <w:p w14:paraId="71A44B72" w14:textId="77777777" w:rsidR="00CA79FA" w:rsidRDefault="00A30D19" w:rsidP="00A30D19">
                  <w:pPr>
                    <w:pStyle w:val="Paragrafoelenco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CA79FA">
                    <w:rPr>
                      <w:rFonts w:ascii="Arial Narrow" w:eastAsia="Calibri" w:hAnsi="Arial Narrow" w:cs="Times New Roman"/>
                    </w:rPr>
                    <w:t xml:space="preserve">Sulla base delle informazioni </w:t>
                  </w:r>
                  <w:r w:rsidR="0084138E" w:rsidRPr="00CA79FA">
                    <w:rPr>
                      <w:rFonts w:ascii="Arial Narrow" w:eastAsia="Calibri" w:hAnsi="Arial Narrow" w:cs="Times New Roman"/>
                    </w:rPr>
                    <w:t xml:space="preserve">aggiornate 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si può ragionevolmente escludere che il “titolare effettivo” abbia procedimenti penali in corso, sia soggetto a misure cautelari, abbia riportato condanne penali?</w:t>
                  </w:r>
                </w:p>
                <w:p w14:paraId="51CB16DE" w14:textId="77777777" w:rsidR="00CA79FA" w:rsidRDefault="00A30D19" w:rsidP="00A30D19">
                  <w:pPr>
                    <w:pStyle w:val="Paragrafoelenco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CA79FA">
                    <w:rPr>
                      <w:rFonts w:ascii="Arial Narrow" w:eastAsia="Calibri" w:hAnsi="Arial Narrow" w:cs="Times New Roman"/>
                    </w:rPr>
                    <w:t xml:space="preserve">Sulla base delle informazioni </w:t>
                  </w:r>
                  <w:r w:rsidR="0084138E" w:rsidRPr="00CA79FA">
                    <w:rPr>
                      <w:rFonts w:ascii="Arial Narrow" w:eastAsia="Calibri" w:hAnsi="Arial Narrow" w:cs="Times New Roman"/>
                    </w:rPr>
                    <w:t xml:space="preserve">aggiornate 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 xml:space="preserve">si può ragionevolmente escludere che vi siano a carico del cliente procedimenti per danno erariale, reati fiscali, altri procedimenti penali, procedimenti </w:t>
                  </w:r>
                  <w:r w:rsidRPr="00CA79FA">
                    <w:rPr>
                      <w:rFonts w:ascii="Arial Narrow" w:eastAsia="Calibri" w:hAnsi="Arial Narrow" w:cs="Times New Roman"/>
                      <w:i/>
                    </w:rPr>
                    <w:t>ex</w:t>
                  </w:r>
                  <w:r w:rsidR="00CA0618" w:rsidRPr="00CA79FA">
                    <w:rPr>
                      <w:rFonts w:ascii="Arial Narrow" w:eastAsia="Calibri" w:hAnsi="Arial Narrow" w:cs="Times New Roman"/>
                    </w:rPr>
                    <w:t xml:space="preserve"> </w:t>
                  </w:r>
                  <w:proofErr w:type="gramStart"/>
                  <w:r w:rsidR="00CA0618" w:rsidRPr="00CA79FA">
                    <w:rPr>
                      <w:rFonts w:ascii="Arial Narrow" w:eastAsia="Calibri" w:hAnsi="Arial Narrow" w:cs="Times New Roman"/>
                    </w:rPr>
                    <w:t>D.L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gs</w:t>
                  </w:r>
                  <w:proofErr w:type="gramEnd"/>
                  <w:r w:rsidR="00CA0618" w:rsidRPr="00CA79FA">
                    <w:rPr>
                      <w:rFonts w:ascii="Arial Narrow" w:eastAsia="Calibri" w:hAnsi="Arial Narrow" w:cs="Times New Roman"/>
                    </w:rPr>
                    <w:t>.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 xml:space="preserve"> 231/2001, sanzioni per violazioni alla normativa antiriciclaggio, misure giudiziarie di carattere preventivo, provvedimenti di sequestro, condanne penali?</w:t>
                  </w:r>
                </w:p>
                <w:p w14:paraId="0DDF75A3" w14:textId="77777777" w:rsidR="00CA79FA" w:rsidRDefault="00A30D19" w:rsidP="00A30D19">
                  <w:pPr>
                    <w:pStyle w:val="Paragrafoelenco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CA79FA">
                    <w:rPr>
                      <w:rFonts w:ascii="Arial Narrow" w:eastAsia="Calibri" w:hAnsi="Arial Narrow" w:cs="Times New Roman"/>
                    </w:rPr>
                    <w:t xml:space="preserve">Sulla base delle informazioni </w:t>
                  </w:r>
                  <w:r w:rsidR="0084138E" w:rsidRPr="00CA79FA">
                    <w:rPr>
                      <w:rFonts w:ascii="Arial Narrow" w:eastAsia="Calibri" w:hAnsi="Arial Narrow" w:cs="Times New Roman"/>
                    </w:rPr>
                    <w:t xml:space="preserve">aggiornate 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si può ragionevolmente escludere che la natura o la tipologia di attività svolta dal cliente o il settore economico di appartenenza possano essere correlati a paesi e</w:t>
                  </w:r>
                  <w:r w:rsidR="00CC6F11" w:rsidRPr="00CA79FA">
                    <w:rPr>
                      <w:rFonts w:ascii="Arial Narrow" w:eastAsia="Calibri" w:hAnsi="Arial Narrow" w:cs="Times New Roman"/>
                    </w:rPr>
                    <w:t>/o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 xml:space="preserve"> mercati a rischio </w:t>
                  </w:r>
                  <w:r w:rsidR="00D75FD6" w:rsidRPr="00CA79FA">
                    <w:rPr>
                      <w:rFonts w:ascii="Arial Narrow" w:eastAsia="Calibri" w:hAnsi="Arial Narrow" w:cs="Times New Roman"/>
                    </w:rPr>
                    <w:t>riciclaggio e/o finanziamento del terrorismo, o comunque carenti di efficaci presidi di prevenzione di tali reati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?</w:t>
                  </w:r>
                </w:p>
                <w:p w14:paraId="0A7E32B0" w14:textId="77777777" w:rsidR="00CA79FA" w:rsidRDefault="00A30D19" w:rsidP="00A30D19">
                  <w:pPr>
                    <w:pStyle w:val="Paragrafoelenco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CA79FA">
                    <w:rPr>
                      <w:rFonts w:ascii="Arial Narrow" w:eastAsia="Calibri" w:hAnsi="Arial Narrow" w:cs="Times New Roman"/>
                    </w:rPr>
                    <w:t xml:space="preserve">Sulla base delle informazioni </w:t>
                  </w:r>
                  <w:r w:rsidR="0084138E" w:rsidRPr="00CA79FA">
                    <w:rPr>
                      <w:rFonts w:ascii="Arial Narrow" w:eastAsia="Calibri" w:hAnsi="Arial Narrow" w:cs="Times New Roman"/>
                    </w:rPr>
                    <w:t xml:space="preserve">aggiornate 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si può ragionevolmente escludere che il cliente abbia partecipazioni eccedenti il 25% o comunque eserciti un’influenza dominante su enti aventi sedi in paesi e</w:t>
                  </w:r>
                  <w:r w:rsidR="00CC6F11" w:rsidRPr="00CA79FA">
                    <w:rPr>
                      <w:rFonts w:ascii="Arial Narrow" w:eastAsia="Calibri" w:hAnsi="Arial Narrow" w:cs="Times New Roman"/>
                    </w:rPr>
                    <w:t>/o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 xml:space="preserve"> mercati a rischio </w:t>
                  </w:r>
                  <w:r w:rsidR="00D75FD6" w:rsidRPr="00CA79FA">
                    <w:rPr>
                      <w:rFonts w:ascii="Arial Narrow" w:eastAsia="Calibri" w:hAnsi="Arial Narrow" w:cs="Times New Roman"/>
                    </w:rPr>
                    <w:t>riciclaggio e/o finanziamento del terrorismo, o comunque carenti di efficaci presidi di prevenzione di tali reati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?</w:t>
                  </w:r>
                </w:p>
                <w:p w14:paraId="1BEA886C" w14:textId="77777777" w:rsidR="00CA79FA" w:rsidRDefault="00D75FD6" w:rsidP="00A30D19">
                  <w:pPr>
                    <w:pStyle w:val="Paragrafoelenco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CA79FA">
                    <w:rPr>
                      <w:rFonts w:ascii="Arial Narrow" w:eastAsia="Calibri" w:hAnsi="Arial Narrow" w:cs="Times New Roman"/>
                    </w:rPr>
                    <w:t xml:space="preserve">Sulla base delle informazioni </w:t>
                  </w:r>
                  <w:r w:rsidR="0084138E" w:rsidRPr="00CA79FA">
                    <w:rPr>
                      <w:rFonts w:ascii="Arial Narrow" w:eastAsia="Calibri" w:hAnsi="Arial Narrow" w:cs="Times New Roman"/>
                    </w:rPr>
                    <w:t>aggiornate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 xml:space="preserve"> si può ragionevolmente escludere che la natura o la tipologia di attività svolta dal cliente o il settore economico di appartenenza possano essere correlati a paesi terzi caratterizzati da un elevato 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lastRenderedPageBreak/>
                    <w:t>livello di corruzione o di permeabilità ad altre attività criminose?</w:t>
                  </w:r>
                </w:p>
                <w:p w14:paraId="7502C843" w14:textId="77777777" w:rsidR="00CA79FA" w:rsidRDefault="00A30D19" w:rsidP="00A30D19">
                  <w:pPr>
                    <w:pStyle w:val="Paragrafoelenco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CA79FA">
                    <w:rPr>
                      <w:rFonts w:ascii="Arial Narrow" w:eastAsia="Calibri" w:hAnsi="Arial Narrow" w:cs="Times New Roman"/>
                    </w:rPr>
                    <w:t xml:space="preserve">Sulla base delle informazioni acquisite nel corso dell’incarico si è ragionevolmente in grado di escludere l’esistenza di operazioni significative tra il cliente e enti operanti in </w:t>
                  </w:r>
                  <w:r w:rsidR="00931124" w:rsidRPr="00CA79FA">
                    <w:rPr>
                      <w:rFonts w:ascii="Arial Narrow" w:eastAsia="Calibri" w:hAnsi="Arial Narrow" w:cs="Times New Roman"/>
                    </w:rPr>
                    <w:t xml:space="preserve">paesi 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e</w:t>
                  </w:r>
                  <w:r w:rsidR="00931124" w:rsidRPr="00CA79FA">
                    <w:rPr>
                      <w:rFonts w:ascii="Arial Narrow" w:eastAsia="Calibri" w:hAnsi="Arial Narrow" w:cs="Times New Roman"/>
                    </w:rPr>
                    <w:t>/o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 xml:space="preserve"> mercati a rischio </w:t>
                  </w:r>
                  <w:r w:rsidR="00931124" w:rsidRPr="00CA79FA">
                    <w:rPr>
                      <w:rFonts w:ascii="Arial Narrow" w:eastAsia="Calibri" w:hAnsi="Arial Narrow" w:cs="Times New Roman"/>
                    </w:rPr>
                    <w:t>riciclaggio e/o finanziamento del terrorismo, o comunque carenti di efficaci presidi di prevenzione di tali reati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?</w:t>
                  </w:r>
                </w:p>
                <w:p w14:paraId="4950DB5A" w14:textId="77777777" w:rsidR="00CA79FA" w:rsidRDefault="00A30D19" w:rsidP="00A30D19">
                  <w:pPr>
                    <w:pStyle w:val="Paragrafoelenco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CA79FA">
                    <w:rPr>
                      <w:rFonts w:ascii="Arial Narrow" w:eastAsia="Calibri" w:hAnsi="Arial Narrow" w:cs="Times New Roman"/>
                    </w:rPr>
                    <w:t xml:space="preserve">Sulla base delle informazioni </w:t>
                  </w:r>
                  <w:r w:rsidR="0084138E" w:rsidRPr="00CA79FA">
                    <w:rPr>
                      <w:rFonts w:ascii="Arial Narrow" w:eastAsia="Calibri" w:hAnsi="Arial Narrow" w:cs="Times New Roman"/>
                    </w:rPr>
                    <w:t xml:space="preserve">aggiornate 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si può ragionevolmente escludere che il cliente abbia cercato consapevolmente di fuorviare o</w:t>
                  </w:r>
                  <w:r w:rsidR="00D75FD6" w:rsidRPr="00CA79FA">
                    <w:rPr>
                      <w:rFonts w:ascii="Arial Narrow" w:eastAsia="Calibri" w:hAnsi="Arial Narrow" w:cs="Times New Roman"/>
                    </w:rPr>
                    <w:t>d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 xml:space="preserve"> ostacolare l’acquisizione di informazioni rilevanti ai fini </w:t>
                  </w:r>
                  <w:r w:rsidR="00931124" w:rsidRPr="00CA79FA">
                    <w:rPr>
                      <w:rFonts w:ascii="Arial Narrow" w:eastAsia="Calibri" w:hAnsi="Arial Narrow" w:cs="Times New Roman"/>
                    </w:rPr>
                    <w:t>della prevenzione dei reati di riciclaggio/finanziamento del terrorismo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>?</w:t>
                  </w:r>
                </w:p>
                <w:p w14:paraId="34FF5600" w14:textId="4290D53A" w:rsidR="00931124" w:rsidRPr="00CA79FA" w:rsidRDefault="00931124" w:rsidP="00A30D19">
                  <w:pPr>
                    <w:pStyle w:val="Paragrafoelenco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  <w:bookmarkStart w:id="0" w:name="_GoBack"/>
                  <w:bookmarkEnd w:id="0"/>
                  <w:r w:rsidRPr="00CA79FA">
                    <w:rPr>
                      <w:rFonts w:ascii="Arial Narrow" w:eastAsia="Calibri" w:hAnsi="Arial Narrow" w:cs="Times New Roman"/>
                    </w:rPr>
                    <w:t xml:space="preserve">Sono state </w:t>
                  </w:r>
                  <w:r w:rsidR="0084138E" w:rsidRPr="00CA79FA">
                    <w:rPr>
                      <w:rFonts w:ascii="Arial Narrow" w:eastAsia="Calibri" w:hAnsi="Arial Narrow" w:cs="Times New Roman"/>
                    </w:rPr>
                    <w:t>aggiornate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 xml:space="preserve"> le informazioni necessarie per </w:t>
                  </w:r>
                  <w:r w:rsidR="0084138E" w:rsidRPr="00CA79FA">
                    <w:rPr>
                      <w:rFonts w:ascii="Arial Narrow" w:eastAsia="Calibri" w:hAnsi="Arial Narrow" w:cs="Times New Roman"/>
                    </w:rPr>
                    <w:t>verificare</w:t>
                  </w:r>
                  <w:r w:rsidRPr="00CA79FA">
                    <w:rPr>
                      <w:rFonts w:ascii="Arial Narrow" w:eastAsia="Calibri" w:hAnsi="Arial Narrow" w:cs="Times New Roman"/>
                    </w:rPr>
                    <w:t xml:space="preserve"> se il rappresentante legale e/o il titolare effettivo del cliente siano Persone Politicamente Esposte?</w:t>
                  </w:r>
                </w:p>
                <w:p w14:paraId="67034907" w14:textId="77777777" w:rsidR="00A30D19" w:rsidRPr="00350C1D" w:rsidRDefault="00A30D19" w:rsidP="00A30D19">
                  <w:pPr>
                    <w:spacing w:line="360" w:lineRule="auto"/>
                    <w:jc w:val="both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1380" w:type="dxa"/>
                </w:tcPr>
                <w:p w14:paraId="04158AB5" w14:textId="77777777" w:rsidR="00A30D19" w:rsidRDefault="00A30D19" w:rsidP="00A30D19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  <w:tc>
                <w:tcPr>
                  <w:tcW w:w="2620" w:type="dxa"/>
                </w:tcPr>
                <w:p w14:paraId="4976EA37" w14:textId="77777777" w:rsidR="00A30D19" w:rsidRDefault="00A30D19" w:rsidP="00A30D19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</w:tr>
          </w:tbl>
          <w:p w14:paraId="22DDD946" w14:textId="77777777" w:rsidR="00122C44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p w14:paraId="33E51019" w14:textId="77777777" w:rsidR="007F11C3" w:rsidRDefault="007F11C3" w:rsidP="007F11C3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369C5">
              <w:rPr>
                <w:rFonts w:ascii="Arial Narrow" w:eastAsia="Calibri" w:hAnsi="Arial Narrow" w:cs="Times New Roman"/>
                <w:b/>
                <w:bCs/>
              </w:rPr>
              <w:t>Conclusioni</w:t>
            </w:r>
            <w:r>
              <w:rPr>
                <w:rFonts w:ascii="Arial Narrow" w:eastAsia="Calibri" w:hAnsi="Arial Narrow" w:cs="Times New Roman"/>
                <w:b/>
                <w:bCs/>
              </w:rPr>
              <w:t>:</w:t>
            </w:r>
          </w:p>
          <w:p w14:paraId="75A7555D" w14:textId="77777777" w:rsidR="00A30D19" w:rsidRPr="00AC2A50" w:rsidRDefault="00A30D19" w:rsidP="00A30D19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  <w:r w:rsidRPr="00AC2A50">
              <w:rPr>
                <w:rFonts w:ascii="Arial Narrow" w:eastAsia="Calibri" w:hAnsi="Arial Narrow" w:cs="Times New Roman"/>
              </w:rPr>
              <w:t>Sulla base delle considerazioni, delle valutazioni e degli elementi illustrati in precedenza, si ritiene opportuno:</w:t>
            </w:r>
          </w:p>
          <w:p w14:paraId="2F82B929" w14:textId="77777777" w:rsidR="00A30D19" w:rsidRPr="00AC2A50" w:rsidRDefault="00A30D19" w:rsidP="00A30D19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450634C8" w14:textId="77777777" w:rsidR="00A30D19" w:rsidRPr="00350C1D" w:rsidRDefault="00A30D19" w:rsidP="00A30D19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  <w:r w:rsidRPr="00AC2A50">
              <w:rPr>
                <w:rFonts w:ascii="Arial Narrow" w:eastAsia="Calibri" w:hAnsi="Arial Narrow" w:cs="Times New Roman"/>
                <w:b/>
              </w:rPr>
              <w:sym w:font="Symbol" w:char="F07F"/>
            </w:r>
            <w:r w:rsidRPr="00AC2A50">
              <w:rPr>
                <w:rFonts w:ascii="Arial Narrow" w:eastAsia="Calibri" w:hAnsi="Arial Narrow" w:cs="Times New Roman"/>
                <w:b/>
              </w:rPr>
              <w:t xml:space="preserve"> continuare l’incarico </w:t>
            </w:r>
            <w:r>
              <w:rPr>
                <w:rFonts w:ascii="Arial Narrow" w:eastAsia="Calibri" w:hAnsi="Arial Narrow" w:cs="Times New Roman"/>
                <w:b/>
              </w:rPr>
              <w:t xml:space="preserve">         </w:t>
            </w:r>
            <w:r w:rsidRPr="00AC2A50">
              <w:rPr>
                <w:rFonts w:ascii="Arial Narrow" w:eastAsia="Calibri" w:hAnsi="Arial Narrow" w:cs="Times New Roman"/>
                <w:i/>
              </w:rPr>
              <w:t xml:space="preserve">oppure  </w:t>
            </w:r>
            <w:r>
              <w:rPr>
                <w:rFonts w:ascii="Arial Narrow" w:eastAsia="Calibri" w:hAnsi="Arial Narrow" w:cs="Times New Roman"/>
                <w:i/>
              </w:rPr>
              <w:t xml:space="preserve">    </w:t>
            </w:r>
            <w:r w:rsidRPr="00AC2A50">
              <w:rPr>
                <w:rFonts w:ascii="Arial Narrow" w:eastAsia="Calibri" w:hAnsi="Arial Narrow" w:cs="Times New Roman"/>
                <w:i/>
              </w:rPr>
              <w:t xml:space="preserve">  </w:t>
            </w:r>
            <w:r w:rsidRPr="00AC2A50">
              <w:rPr>
                <w:rFonts w:ascii="Arial Narrow" w:eastAsia="Calibri" w:hAnsi="Arial Narrow" w:cs="Times New Roman"/>
                <w:b/>
              </w:rPr>
              <w:sym w:font="Symbol" w:char="F07F"/>
            </w:r>
            <w:r w:rsidRPr="00AC2A50">
              <w:rPr>
                <w:rFonts w:ascii="Arial Narrow" w:eastAsia="Calibri" w:hAnsi="Arial Narrow" w:cs="Times New Roman"/>
                <w:b/>
              </w:rPr>
              <w:t xml:space="preserve"> adottare le seguenti misure: </w:t>
            </w:r>
            <w:r w:rsidRPr="00350C1D">
              <w:rPr>
                <w:rFonts w:ascii="Arial Narrow" w:eastAsia="Calibri" w:hAnsi="Arial Narrow" w:cs="Times New Roman"/>
              </w:rPr>
              <w:t>…………………………………</w:t>
            </w:r>
          </w:p>
          <w:p w14:paraId="1A23C329" w14:textId="77777777" w:rsidR="00122C44" w:rsidRPr="007F11C3" w:rsidRDefault="00122C44" w:rsidP="007F11C3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14:paraId="29D7811D" w14:textId="77777777" w:rsidR="002A6748" w:rsidRDefault="002A6748" w:rsidP="007F11C3">
      <w:pPr>
        <w:spacing w:after="0" w:line="360" w:lineRule="auto"/>
        <w:rPr>
          <w:rFonts w:ascii="Arial Narrow" w:eastAsia="Times New Roman" w:hAnsi="Arial Narrow" w:cs="Times New Roman"/>
          <w:b/>
          <w:lang w:eastAsia="it-IT"/>
        </w:rPr>
      </w:pPr>
    </w:p>
    <w:sectPr w:rsidR="002A6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B39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7CB"/>
    <w:multiLevelType w:val="hybridMultilevel"/>
    <w:tmpl w:val="0A16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41DF"/>
    <w:multiLevelType w:val="hybridMultilevel"/>
    <w:tmpl w:val="962EEF0E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5FA0"/>
    <w:multiLevelType w:val="hybridMultilevel"/>
    <w:tmpl w:val="74AC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5B64"/>
    <w:multiLevelType w:val="hybridMultilevel"/>
    <w:tmpl w:val="A9B4F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3106D8"/>
    <w:multiLevelType w:val="hybridMultilevel"/>
    <w:tmpl w:val="57D63BB8"/>
    <w:lvl w:ilvl="0" w:tplc="DB7CB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07319"/>
    <w:multiLevelType w:val="hybridMultilevel"/>
    <w:tmpl w:val="92F8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73694"/>
    <w:multiLevelType w:val="hybridMultilevel"/>
    <w:tmpl w:val="19EE40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D2BD8"/>
    <w:multiLevelType w:val="hybridMultilevel"/>
    <w:tmpl w:val="6D4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7B54"/>
    <w:multiLevelType w:val="hybridMultilevel"/>
    <w:tmpl w:val="0F10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7CEB"/>
    <w:multiLevelType w:val="hybridMultilevel"/>
    <w:tmpl w:val="3266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563AB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0D93"/>
    <w:multiLevelType w:val="hybridMultilevel"/>
    <w:tmpl w:val="F426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70F7"/>
    <w:multiLevelType w:val="hybridMultilevel"/>
    <w:tmpl w:val="22BAC22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FCA58BF"/>
    <w:multiLevelType w:val="hybridMultilevel"/>
    <w:tmpl w:val="6494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04300"/>
    <w:multiLevelType w:val="hybridMultilevel"/>
    <w:tmpl w:val="B2E47ED0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57D202A"/>
    <w:multiLevelType w:val="hybridMultilevel"/>
    <w:tmpl w:val="3720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669CA"/>
    <w:multiLevelType w:val="hybridMultilevel"/>
    <w:tmpl w:val="83A2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2357D"/>
    <w:multiLevelType w:val="hybridMultilevel"/>
    <w:tmpl w:val="5D40DA9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CBA3E76"/>
    <w:multiLevelType w:val="hybridMultilevel"/>
    <w:tmpl w:val="FF8E798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85490"/>
    <w:multiLevelType w:val="hybridMultilevel"/>
    <w:tmpl w:val="459CE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51CE0"/>
    <w:multiLevelType w:val="hybridMultilevel"/>
    <w:tmpl w:val="04B25D6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C1ECA"/>
    <w:multiLevelType w:val="hybridMultilevel"/>
    <w:tmpl w:val="9AFE86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0377A7"/>
    <w:multiLevelType w:val="hybridMultilevel"/>
    <w:tmpl w:val="0240999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3242A"/>
    <w:multiLevelType w:val="hybridMultilevel"/>
    <w:tmpl w:val="C18CC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F52"/>
    <w:multiLevelType w:val="hybridMultilevel"/>
    <w:tmpl w:val="E7A2A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3E8B"/>
    <w:multiLevelType w:val="hybridMultilevel"/>
    <w:tmpl w:val="446428DE"/>
    <w:lvl w:ilvl="0" w:tplc="0410001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33D15"/>
    <w:multiLevelType w:val="hybridMultilevel"/>
    <w:tmpl w:val="239EE1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7D0CE9"/>
    <w:multiLevelType w:val="hybridMultilevel"/>
    <w:tmpl w:val="4D2E6C6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33FED"/>
    <w:multiLevelType w:val="hybridMultilevel"/>
    <w:tmpl w:val="563A5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E56CC"/>
    <w:multiLevelType w:val="hybridMultilevel"/>
    <w:tmpl w:val="4B92ABEE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3D75"/>
    <w:multiLevelType w:val="hybridMultilevel"/>
    <w:tmpl w:val="DC925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F821E0"/>
    <w:multiLevelType w:val="hybridMultilevel"/>
    <w:tmpl w:val="61B26E56"/>
    <w:lvl w:ilvl="0" w:tplc="041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4"/>
  </w:num>
  <w:num w:numId="2">
    <w:abstractNumId w:val="28"/>
  </w:num>
  <w:num w:numId="3">
    <w:abstractNumId w:val="30"/>
  </w:num>
  <w:num w:numId="4">
    <w:abstractNumId w:val="23"/>
  </w:num>
  <w:num w:numId="5">
    <w:abstractNumId w:val="19"/>
  </w:num>
  <w:num w:numId="6">
    <w:abstractNumId w:val="25"/>
  </w:num>
  <w:num w:numId="7">
    <w:abstractNumId w:val="2"/>
  </w:num>
  <w:num w:numId="8">
    <w:abstractNumId w:val="21"/>
  </w:num>
  <w:num w:numId="9">
    <w:abstractNumId w:val="26"/>
  </w:num>
  <w:num w:numId="10">
    <w:abstractNumId w:val="14"/>
  </w:num>
  <w:num w:numId="11">
    <w:abstractNumId w:val="22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17"/>
  </w:num>
  <w:num w:numId="18">
    <w:abstractNumId w:val="6"/>
  </w:num>
  <w:num w:numId="19">
    <w:abstractNumId w:val="9"/>
  </w:num>
  <w:num w:numId="20">
    <w:abstractNumId w:val="3"/>
  </w:num>
  <w:num w:numId="21">
    <w:abstractNumId w:val="20"/>
  </w:num>
  <w:num w:numId="22">
    <w:abstractNumId w:val="0"/>
  </w:num>
  <w:num w:numId="23">
    <w:abstractNumId w:val="11"/>
  </w:num>
  <w:num w:numId="24">
    <w:abstractNumId w:val="29"/>
  </w:num>
  <w:num w:numId="25">
    <w:abstractNumId w:val="5"/>
  </w:num>
  <w:num w:numId="26">
    <w:abstractNumId w:val="27"/>
  </w:num>
  <w:num w:numId="27">
    <w:abstractNumId w:val="31"/>
  </w:num>
  <w:num w:numId="28">
    <w:abstractNumId w:val="4"/>
  </w:num>
  <w:num w:numId="29">
    <w:abstractNumId w:val="15"/>
  </w:num>
  <w:num w:numId="30">
    <w:abstractNumId w:val="32"/>
  </w:num>
  <w:num w:numId="31">
    <w:abstractNumId w:val="18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2"/>
    <w:rsid w:val="00004BC6"/>
    <w:rsid w:val="000673A4"/>
    <w:rsid w:val="00070FFE"/>
    <w:rsid w:val="00076FD8"/>
    <w:rsid w:val="000A2549"/>
    <w:rsid w:val="000A7F03"/>
    <w:rsid w:val="000C7138"/>
    <w:rsid w:val="000D4B95"/>
    <w:rsid w:val="000E0793"/>
    <w:rsid w:val="000E5695"/>
    <w:rsid w:val="000E7B5E"/>
    <w:rsid w:val="000F1A31"/>
    <w:rsid w:val="00122C44"/>
    <w:rsid w:val="0012688D"/>
    <w:rsid w:val="0015661B"/>
    <w:rsid w:val="00192A53"/>
    <w:rsid w:val="001B553A"/>
    <w:rsid w:val="00220D4D"/>
    <w:rsid w:val="00274B6F"/>
    <w:rsid w:val="002A5B73"/>
    <w:rsid w:val="002A6748"/>
    <w:rsid w:val="002B7610"/>
    <w:rsid w:val="002E2852"/>
    <w:rsid w:val="002E36A7"/>
    <w:rsid w:val="002E4F5A"/>
    <w:rsid w:val="002F2795"/>
    <w:rsid w:val="00314682"/>
    <w:rsid w:val="00323986"/>
    <w:rsid w:val="00342376"/>
    <w:rsid w:val="00371ADA"/>
    <w:rsid w:val="00376C69"/>
    <w:rsid w:val="00385762"/>
    <w:rsid w:val="00385B81"/>
    <w:rsid w:val="003A7C48"/>
    <w:rsid w:val="003E1EDD"/>
    <w:rsid w:val="003E451F"/>
    <w:rsid w:val="00455E45"/>
    <w:rsid w:val="004629C1"/>
    <w:rsid w:val="00463FC8"/>
    <w:rsid w:val="004A3F56"/>
    <w:rsid w:val="004B0989"/>
    <w:rsid w:val="004B541F"/>
    <w:rsid w:val="004F5F08"/>
    <w:rsid w:val="004F709C"/>
    <w:rsid w:val="00513B19"/>
    <w:rsid w:val="0055126A"/>
    <w:rsid w:val="005A291B"/>
    <w:rsid w:val="005E2A73"/>
    <w:rsid w:val="006223EA"/>
    <w:rsid w:val="00630EF1"/>
    <w:rsid w:val="00640704"/>
    <w:rsid w:val="00677AB8"/>
    <w:rsid w:val="0068110B"/>
    <w:rsid w:val="00684889"/>
    <w:rsid w:val="006916BE"/>
    <w:rsid w:val="006A7F86"/>
    <w:rsid w:val="006B7D39"/>
    <w:rsid w:val="006C5F92"/>
    <w:rsid w:val="006D24E4"/>
    <w:rsid w:val="006D3A3D"/>
    <w:rsid w:val="00715373"/>
    <w:rsid w:val="00716443"/>
    <w:rsid w:val="00717AD6"/>
    <w:rsid w:val="00720BE7"/>
    <w:rsid w:val="007420C3"/>
    <w:rsid w:val="00780362"/>
    <w:rsid w:val="00781C7A"/>
    <w:rsid w:val="00795FFA"/>
    <w:rsid w:val="007D00E6"/>
    <w:rsid w:val="007D2D1C"/>
    <w:rsid w:val="007F11C3"/>
    <w:rsid w:val="00806AB4"/>
    <w:rsid w:val="0084138E"/>
    <w:rsid w:val="00861B18"/>
    <w:rsid w:val="00883508"/>
    <w:rsid w:val="00891490"/>
    <w:rsid w:val="008A1F80"/>
    <w:rsid w:val="0092000C"/>
    <w:rsid w:val="00931124"/>
    <w:rsid w:val="00934656"/>
    <w:rsid w:val="009465D9"/>
    <w:rsid w:val="00976F6D"/>
    <w:rsid w:val="009841BF"/>
    <w:rsid w:val="00990BB6"/>
    <w:rsid w:val="009A244B"/>
    <w:rsid w:val="009A520D"/>
    <w:rsid w:val="009C6C27"/>
    <w:rsid w:val="009F2D16"/>
    <w:rsid w:val="00A30D19"/>
    <w:rsid w:val="00A60378"/>
    <w:rsid w:val="00A727E9"/>
    <w:rsid w:val="00A841C9"/>
    <w:rsid w:val="00AA6772"/>
    <w:rsid w:val="00B22C33"/>
    <w:rsid w:val="00B41A68"/>
    <w:rsid w:val="00B505EA"/>
    <w:rsid w:val="00B57520"/>
    <w:rsid w:val="00BE219F"/>
    <w:rsid w:val="00BE42DC"/>
    <w:rsid w:val="00C01874"/>
    <w:rsid w:val="00C02EE2"/>
    <w:rsid w:val="00C10081"/>
    <w:rsid w:val="00C27FE6"/>
    <w:rsid w:val="00C32A61"/>
    <w:rsid w:val="00C50176"/>
    <w:rsid w:val="00C56EB0"/>
    <w:rsid w:val="00C931B9"/>
    <w:rsid w:val="00CA0618"/>
    <w:rsid w:val="00CA79FA"/>
    <w:rsid w:val="00CB78F9"/>
    <w:rsid w:val="00CC13BF"/>
    <w:rsid w:val="00CC4752"/>
    <w:rsid w:val="00CC6F11"/>
    <w:rsid w:val="00CF0C6F"/>
    <w:rsid w:val="00D503FA"/>
    <w:rsid w:val="00D7150F"/>
    <w:rsid w:val="00D75FD6"/>
    <w:rsid w:val="00D8017B"/>
    <w:rsid w:val="00DA790D"/>
    <w:rsid w:val="00DA7D8D"/>
    <w:rsid w:val="00DB04ED"/>
    <w:rsid w:val="00DE6ECD"/>
    <w:rsid w:val="00E11A7C"/>
    <w:rsid w:val="00E2667B"/>
    <w:rsid w:val="00E474AF"/>
    <w:rsid w:val="00E47AAA"/>
    <w:rsid w:val="00E63885"/>
    <w:rsid w:val="00E73B46"/>
    <w:rsid w:val="00E92B09"/>
    <w:rsid w:val="00EC7506"/>
    <w:rsid w:val="00EE0FA3"/>
    <w:rsid w:val="00EE5E10"/>
    <w:rsid w:val="00EF0AE5"/>
    <w:rsid w:val="00F26B6C"/>
    <w:rsid w:val="00F60E76"/>
    <w:rsid w:val="00F67F89"/>
    <w:rsid w:val="00FA2159"/>
    <w:rsid w:val="00FA6508"/>
    <w:rsid w:val="00FC480B"/>
    <w:rsid w:val="00FC609D"/>
    <w:rsid w:val="00FE1C89"/>
    <w:rsid w:val="00FE6565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8F5A"/>
  <w15:chartTrackingRefBased/>
  <w15:docId w15:val="{425FE829-F68F-4035-8D8B-6A0BD4E6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90B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02E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2">
    <w:name w:val="Table Simple 2"/>
    <w:basedOn w:val="Tabellanormale"/>
    <w:uiPriority w:val="42"/>
    <w:rsid w:val="00861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">
    <w:name w:val="Table Head"/>
    <w:basedOn w:val="Normale"/>
    <w:uiPriority w:val="99"/>
    <w:rsid w:val="006A7F86"/>
    <w:pPr>
      <w:widowControl w:val="0"/>
      <w:suppressAutoHyphens/>
      <w:autoSpaceDE w:val="0"/>
      <w:autoSpaceDN w:val="0"/>
      <w:adjustRightInd w:val="0"/>
      <w:spacing w:before="160" w:after="0" w:line="260" w:lineRule="atLeast"/>
    </w:pPr>
    <w:rPr>
      <w:rFonts w:ascii="Times New Roman" w:eastAsia="Times New Roman" w:hAnsi="Times New Roman" w:cs="Times New Roman"/>
      <w:b/>
      <w:bCs/>
      <w:color w:val="FFFFFF"/>
      <w:lang w:val="en-CA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next w:val="Tabellasemplice2"/>
    <w:uiPriority w:val="42"/>
    <w:rsid w:val="006C5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B5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67F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7F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7F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7F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7F8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67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DAD3-E2E8-439B-88ED-84874604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Pagani Alessandra</cp:lastModifiedBy>
  <cp:revision>7</cp:revision>
  <dcterms:created xsi:type="dcterms:W3CDTF">2017-12-18T13:23:00Z</dcterms:created>
  <dcterms:modified xsi:type="dcterms:W3CDTF">2018-03-12T08:45:00Z</dcterms:modified>
</cp:coreProperties>
</file>