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0FBE" w:rsidRDefault="00A048B8" w:rsidP="00C17D16">
      <w:pPr>
        <w:spacing w:line="520" w:lineRule="atLeast"/>
        <w:jc w:val="both"/>
        <w:rPr>
          <w:rFonts w:ascii="Times New Roman" w:hAnsi="Times New Roman" w:cs="Times New Roman"/>
          <w:b/>
          <w:sz w:val="28"/>
          <w:szCs w:val="28"/>
        </w:rPr>
      </w:pPr>
      <w:r>
        <w:rPr>
          <w:rFonts w:ascii="Times New Roman" w:hAnsi="Times New Roman" w:cs="Times New Roman"/>
          <w:b/>
          <w:sz w:val="28"/>
          <w:szCs w:val="28"/>
        </w:rPr>
        <w:t xml:space="preserve">Convegno: </w:t>
      </w:r>
      <w:r w:rsidR="00BB0FBE">
        <w:rPr>
          <w:rFonts w:ascii="Times New Roman" w:hAnsi="Times New Roman" w:cs="Times New Roman"/>
          <w:b/>
          <w:sz w:val="28"/>
          <w:szCs w:val="28"/>
        </w:rPr>
        <w:t>IL NUOVO CODICE DELLA CRISI DI IMPRESA E ALTRI SPUNTI IN MATERIA DI PROCEDURE CONCORSUALI.</w:t>
      </w:r>
    </w:p>
    <w:p w:rsidR="00A048B8" w:rsidRDefault="00A048B8" w:rsidP="00C17D16">
      <w:pPr>
        <w:spacing w:line="520" w:lineRule="atLeast"/>
        <w:jc w:val="both"/>
        <w:rPr>
          <w:rFonts w:ascii="Times New Roman" w:hAnsi="Times New Roman" w:cs="Times New Roman"/>
          <w:b/>
          <w:sz w:val="28"/>
          <w:szCs w:val="28"/>
        </w:rPr>
      </w:pPr>
      <w:r>
        <w:rPr>
          <w:rFonts w:ascii="Times New Roman" w:hAnsi="Times New Roman" w:cs="Times New Roman"/>
          <w:b/>
          <w:sz w:val="28"/>
          <w:szCs w:val="28"/>
        </w:rPr>
        <w:t>GLI ACCORDI DI RISTRUTTURAZIONE DEL DEBITO E IL LORO UTILIZZO</w:t>
      </w:r>
      <w:r w:rsidR="00C17D16">
        <w:rPr>
          <w:rFonts w:ascii="Times New Roman" w:hAnsi="Times New Roman" w:cs="Times New Roman"/>
          <w:b/>
          <w:sz w:val="28"/>
          <w:szCs w:val="28"/>
        </w:rPr>
        <w:t xml:space="preserve"> –APPUNTI </w:t>
      </w:r>
    </w:p>
    <w:p w:rsidR="00EA1F78" w:rsidRDefault="00A048B8" w:rsidP="00C17D16">
      <w:pPr>
        <w:spacing w:line="520" w:lineRule="atLeast"/>
        <w:jc w:val="both"/>
        <w:rPr>
          <w:rFonts w:ascii="Times New Roman" w:hAnsi="Times New Roman" w:cs="Times New Roman"/>
          <w:b/>
          <w:sz w:val="28"/>
          <w:szCs w:val="28"/>
        </w:rPr>
      </w:pPr>
      <w:r>
        <w:rPr>
          <w:rFonts w:ascii="Times New Roman" w:hAnsi="Times New Roman" w:cs="Times New Roman"/>
          <w:b/>
          <w:sz w:val="28"/>
          <w:szCs w:val="28"/>
        </w:rPr>
        <w:t>-</w:t>
      </w:r>
      <w:r w:rsidR="00EA1F78" w:rsidRPr="00A048B8">
        <w:rPr>
          <w:rFonts w:ascii="Times New Roman" w:hAnsi="Times New Roman" w:cs="Times New Roman"/>
          <w:b/>
          <w:sz w:val="28"/>
          <w:szCs w:val="28"/>
        </w:rPr>
        <w:t>PREMESSA</w:t>
      </w:r>
    </w:p>
    <w:p w:rsidR="00A048B8" w:rsidRPr="00A048B8" w:rsidRDefault="00A048B8" w:rsidP="00C17D16">
      <w:pPr>
        <w:spacing w:line="520" w:lineRule="atLeast"/>
        <w:jc w:val="both"/>
        <w:rPr>
          <w:rFonts w:ascii="Times New Roman" w:hAnsi="Times New Roman" w:cs="Times New Roman"/>
          <w:sz w:val="28"/>
          <w:szCs w:val="28"/>
        </w:rPr>
      </w:pPr>
      <w:r w:rsidRPr="00A048B8">
        <w:rPr>
          <w:rFonts w:ascii="Times New Roman" w:hAnsi="Times New Roman" w:cs="Times New Roman"/>
          <w:sz w:val="28"/>
          <w:szCs w:val="28"/>
        </w:rPr>
        <w:t xml:space="preserve">Si ringraziano </w:t>
      </w:r>
      <w:proofErr w:type="spellStart"/>
      <w:r w:rsidRPr="00A048B8">
        <w:rPr>
          <w:rFonts w:ascii="Times New Roman" w:hAnsi="Times New Roman" w:cs="Times New Roman"/>
          <w:sz w:val="28"/>
          <w:szCs w:val="28"/>
        </w:rPr>
        <w:t>l’Anc</w:t>
      </w:r>
      <w:proofErr w:type="spellEnd"/>
      <w:r w:rsidRPr="00A048B8">
        <w:rPr>
          <w:rFonts w:ascii="Times New Roman" w:hAnsi="Times New Roman" w:cs="Times New Roman"/>
          <w:sz w:val="28"/>
          <w:szCs w:val="28"/>
        </w:rPr>
        <w:t xml:space="preserve"> –Torino, l’</w:t>
      </w:r>
      <w:proofErr w:type="spellStart"/>
      <w:r w:rsidRPr="00A048B8">
        <w:rPr>
          <w:rFonts w:ascii="Times New Roman" w:hAnsi="Times New Roman" w:cs="Times New Roman"/>
          <w:sz w:val="28"/>
          <w:szCs w:val="28"/>
        </w:rPr>
        <w:t>Anf</w:t>
      </w:r>
      <w:proofErr w:type="spellEnd"/>
      <w:r w:rsidRPr="00A048B8">
        <w:rPr>
          <w:rFonts w:ascii="Times New Roman" w:hAnsi="Times New Roman" w:cs="Times New Roman"/>
          <w:sz w:val="28"/>
          <w:szCs w:val="28"/>
        </w:rPr>
        <w:t>-Torino Piemonte, l’Accademia dei Dottori Commercialisti e l’</w:t>
      </w:r>
      <w:proofErr w:type="spellStart"/>
      <w:r w:rsidRPr="00A048B8">
        <w:rPr>
          <w:rFonts w:ascii="Times New Roman" w:hAnsi="Times New Roman" w:cs="Times New Roman"/>
          <w:sz w:val="28"/>
          <w:szCs w:val="28"/>
        </w:rPr>
        <w:t>Andoc</w:t>
      </w:r>
      <w:proofErr w:type="spellEnd"/>
      <w:r w:rsidRPr="00A048B8">
        <w:rPr>
          <w:rFonts w:ascii="Times New Roman" w:hAnsi="Times New Roman" w:cs="Times New Roman"/>
          <w:sz w:val="28"/>
          <w:szCs w:val="28"/>
        </w:rPr>
        <w:t xml:space="preserve"> </w:t>
      </w:r>
      <w:r>
        <w:rPr>
          <w:rFonts w:ascii="Times New Roman" w:hAnsi="Times New Roman" w:cs="Times New Roman"/>
          <w:sz w:val="28"/>
          <w:szCs w:val="28"/>
        </w:rPr>
        <w:t xml:space="preserve">per l’opportunità di confronto con il mondo dei professionisti del Piemonte e di Torino, che contribuiscono grandemente con il loro lavoro e la loro professionalità al buon funzionamento del nostro Tribunale e degli Uffici Giudiziari del Piemonte. </w:t>
      </w:r>
    </w:p>
    <w:p w:rsidR="003A61E0" w:rsidRPr="00E3315C" w:rsidRDefault="003A61E0" w:rsidP="00C17D16">
      <w:pPr>
        <w:spacing w:line="520" w:lineRule="atLeast"/>
        <w:jc w:val="both"/>
        <w:rPr>
          <w:rFonts w:ascii="Times New Roman" w:hAnsi="Times New Roman" w:cs="Times New Roman"/>
          <w:sz w:val="28"/>
          <w:szCs w:val="28"/>
        </w:rPr>
      </w:pPr>
      <w:r w:rsidRPr="00E3315C">
        <w:rPr>
          <w:rFonts w:ascii="Times New Roman" w:hAnsi="Times New Roman" w:cs="Times New Roman"/>
          <w:sz w:val="28"/>
          <w:szCs w:val="28"/>
        </w:rPr>
        <w:t xml:space="preserve">Il settore della riforma che </w:t>
      </w:r>
      <w:r w:rsidR="00A048B8">
        <w:rPr>
          <w:rFonts w:ascii="Times New Roman" w:hAnsi="Times New Roman" w:cs="Times New Roman"/>
          <w:sz w:val="28"/>
          <w:szCs w:val="28"/>
        </w:rPr>
        <w:t>questo intervento ha per oggetto</w:t>
      </w:r>
      <w:r w:rsidRPr="00E3315C">
        <w:rPr>
          <w:rFonts w:ascii="Times New Roman" w:hAnsi="Times New Roman" w:cs="Times New Roman"/>
          <w:sz w:val="28"/>
          <w:szCs w:val="28"/>
        </w:rPr>
        <w:t xml:space="preserve"> è regolato da Il titolo IV</w:t>
      </w:r>
      <w:r w:rsidR="00A048B8">
        <w:rPr>
          <w:rFonts w:ascii="Times New Roman" w:hAnsi="Times New Roman" w:cs="Times New Roman"/>
          <w:sz w:val="28"/>
          <w:szCs w:val="28"/>
        </w:rPr>
        <w:t xml:space="preserve"> del CCI</w:t>
      </w:r>
      <w:r w:rsidRPr="00E3315C">
        <w:rPr>
          <w:rFonts w:ascii="Times New Roman" w:hAnsi="Times New Roman" w:cs="Times New Roman"/>
          <w:sz w:val="28"/>
          <w:szCs w:val="28"/>
        </w:rPr>
        <w:t xml:space="preserve"> che è intitolato: </w:t>
      </w:r>
      <w:r w:rsidR="00A048B8">
        <w:rPr>
          <w:rFonts w:ascii="Times New Roman" w:hAnsi="Times New Roman" w:cs="Times New Roman"/>
          <w:sz w:val="28"/>
          <w:szCs w:val="28"/>
        </w:rPr>
        <w:t>“</w:t>
      </w:r>
      <w:r w:rsidRPr="00E3315C">
        <w:rPr>
          <w:rFonts w:ascii="Times New Roman" w:hAnsi="Times New Roman" w:cs="Times New Roman"/>
          <w:sz w:val="28"/>
          <w:szCs w:val="28"/>
        </w:rPr>
        <w:t>Strumenti della regolazione della crisi</w:t>
      </w:r>
      <w:r w:rsidR="00A048B8">
        <w:rPr>
          <w:rFonts w:ascii="Times New Roman" w:hAnsi="Times New Roman" w:cs="Times New Roman"/>
          <w:sz w:val="28"/>
          <w:szCs w:val="28"/>
        </w:rPr>
        <w:t>”</w:t>
      </w:r>
      <w:r w:rsidRPr="00E3315C">
        <w:rPr>
          <w:rFonts w:ascii="Times New Roman" w:hAnsi="Times New Roman" w:cs="Times New Roman"/>
          <w:sz w:val="28"/>
          <w:szCs w:val="28"/>
        </w:rPr>
        <w:t xml:space="preserve"> e </w:t>
      </w:r>
      <w:r w:rsidR="00A048B8">
        <w:rPr>
          <w:rFonts w:ascii="Times New Roman" w:hAnsi="Times New Roman" w:cs="Times New Roman"/>
          <w:sz w:val="28"/>
          <w:szCs w:val="28"/>
        </w:rPr>
        <w:t xml:space="preserve">che </w:t>
      </w:r>
      <w:r w:rsidRPr="00E3315C">
        <w:rPr>
          <w:rFonts w:ascii="Times New Roman" w:hAnsi="Times New Roman" w:cs="Times New Roman"/>
          <w:sz w:val="28"/>
          <w:szCs w:val="28"/>
        </w:rPr>
        <w:t>al capo I regola gli accordi, che si dividono in strumenti stragiudiziali, ossia i piani attestati di risanamento, e gli strumenti stragiudiziali soggetti ad omologazione.</w:t>
      </w:r>
    </w:p>
    <w:p w:rsidR="004E1B84" w:rsidRPr="00E3315C" w:rsidRDefault="004E1B84" w:rsidP="00C17D16">
      <w:pPr>
        <w:spacing w:line="520" w:lineRule="atLeast"/>
        <w:jc w:val="both"/>
        <w:rPr>
          <w:rFonts w:ascii="Times New Roman" w:hAnsi="Times New Roman" w:cs="Times New Roman"/>
          <w:sz w:val="28"/>
          <w:szCs w:val="28"/>
        </w:rPr>
      </w:pPr>
      <w:r w:rsidRPr="00E3315C">
        <w:rPr>
          <w:rFonts w:ascii="Times New Roman" w:hAnsi="Times New Roman" w:cs="Times New Roman"/>
          <w:sz w:val="28"/>
          <w:szCs w:val="28"/>
        </w:rPr>
        <w:t xml:space="preserve">Il legislatore ha preso atto, a distanza di pochi anni dall’introduzione dell’accordo di ristrutturazione, della necessità di effettuare modifiche per rendere più utilizzato tale istituto, rimuovendo criticità quali quelle relative ai creditori estranei non finanziari. </w:t>
      </w:r>
    </w:p>
    <w:p w:rsidR="004E1B84" w:rsidRPr="00E3315C" w:rsidRDefault="004E1B84" w:rsidP="00C17D16">
      <w:pPr>
        <w:spacing w:line="520" w:lineRule="atLeast"/>
        <w:jc w:val="both"/>
        <w:rPr>
          <w:rFonts w:ascii="Times New Roman" w:hAnsi="Times New Roman" w:cs="Times New Roman"/>
          <w:sz w:val="28"/>
          <w:szCs w:val="28"/>
        </w:rPr>
      </w:pPr>
      <w:r w:rsidRPr="00E3315C">
        <w:rPr>
          <w:rFonts w:ascii="Times New Roman" w:hAnsi="Times New Roman" w:cs="Times New Roman"/>
          <w:sz w:val="28"/>
          <w:szCs w:val="28"/>
        </w:rPr>
        <w:t xml:space="preserve">Dal punto di vista del Tribunale fallimentare, i risultati dei pochi accordi sono stati in maggioranza insoddisfacenti, in quanto non sempre </w:t>
      </w:r>
      <w:r w:rsidR="005928D4" w:rsidRPr="00E3315C">
        <w:rPr>
          <w:rFonts w:ascii="Times New Roman" w:hAnsi="Times New Roman" w:cs="Times New Roman"/>
          <w:sz w:val="28"/>
          <w:szCs w:val="28"/>
        </w:rPr>
        <w:t xml:space="preserve">le attestazioni sono state aderenti alla realtà e la mancanza del Commissario giudiziale ha impedito un controllo effettivo. </w:t>
      </w:r>
    </w:p>
    <w:p w:rsidR="000B632E" w:rsidRPr="00E3315C" w:rsidRDefault="000B632E" w:rsidP="00C17D16">
      <w:pPr>
        <w:spacing w:line="520" w:lineRule="atLeast"/>
        <w:jc w:val="both"/>
        <w:rPr>
          <w:rFonts w:ascii="Times New Roman" w:hAnsi="Times New Roman" w:cs="Times New Roman"/>
          <w:sz w:val="28"/>
          <w:szCs w:val="28"/>
        </w:rPr>
      </w:pPr>
      <w:r w:rsidRPr="00E3315C">
        <w:rPr>
          <w:rFonts w:ascii="Times New Roman" w:hAnsi="Times New Roman" w:cs="Times New Roman"/>
          <w:sz w:val="28"/>
          <w:szCs w:val="28"/>
        </w:rPr>
        <w:t>La riforma prevede il Commissario per il solo caso di presenza di istanza per la liquidazione.</w:t>
      </w:r>
    </w:p>
    <w:p w:rsidR="000B632E" w:rsidRPr="00E3315C" w:rsidRDefault="000B632E" w:rsidP="00C17D16">
      <w:pPr>
        <w:spacing w:line="520" w:lineRule="atLeast"/>
        <w:jc w:val="both"/>
        <w:rPr>
          <w:rFonts w:ascii="Times New Roman" w:hAnsi="Times New Roman" w:cs="Times New Roman"/>
          <w:sz w:val="28"/>
          <w:szCs w:val="28"/>
        </w:rPr>
      </w:pPr>
      <w:r w:rsidRPr="00E3315C">
        <w:rPr>
          <w:rFonts w:ascii="Times New Roman" w:hAnsi="Times New Roman" w:cs="Times New Roman"/>
          <w:sz w:val="28"/>
          <w:szCs w:val="28"/>
        </w:rPr>
        <w:t xml:space="preserve">Il punto sembra in sintonia con la </w:t>
      </w:r>
      <w:r w:rsidR="00A048B8">
        <w:rPr>
          <w:rFonts w:ascii="Times New Roman" w:hAnsi="Times New Roman" w:cs="Times New Roman"/>
          <w:sz w:val="28"/>
          <w:szCs w:val="28"/>
        </w:rPr>
        <w:t>D</w:t>
      </w:r>
      <w:r w:rsidRPr="00E3315C">
        <w:rPr>
          <w:rFonts w:ascii="Times New Roman" w:hAnsi="Times New Roman" w:cs="Times New Roman"/>
          <w:sz w:val="28"/>
          <w:szCs w:val="28"/>
        </w:rPr>
        <w:t>irettiva europea  in materia di ristrutturazione e insolvenza, emanata definitivamente nel giugno 2019</w:t>
      </w:r>
      <w:r w:rsidR="00A048B8">
        <w:rPr>
          <w:rFonts w:ascii="Times New Roman" w:hAnsi="Times New Roman" w:cs="Times New Roman"/>
          <w:sz w:val="28"/>
          <w:szCs w:val="28"/>
        </w:rPr>
        <w:t>,</w:t>
      </w:r>
      <w:r w:rsidRPr="00E3315C">
        <w:rPr>
          <w:rFonts w:ascii="Times New Roman" w:hAnsi="Times New Roman" w:cs="Times New Roman"/>
          <w:sz w:val="28"/>
          <w:szCs w:val="28"/>
        </w:rPr>
        <w:t xml:space="preserve"> a cui gli stati membri dovranno dargli attuazione in due anni, quindi   nel 2021.  </w:t>
      </w:r>
    </w:p>
    <w:p w:rsidR="000B632E" w:rsidRPr="00E3315C" w:rsidRDefault="000B632E" w:rsidP="00C17D16">
      <w:pPr>
        <w:spacing w:line="520" w:lineRule="atLeast"/>
        <w:jc w:val="both"/>
        <w:rPr>
          <w:rFonts w:ascii="Times New Roman" w:hAnsi="Times New Roman" w:cs="Times New Roman"/>
          <w:sz w:val="28"/>
          <w:szCs w:val="28"/>
        </w:rPr>
      </w:pPr>
      <w:r w:rsidRPr="00E3315C">
        <w:rPr>
          <w:rFonts w:ascii="Times New Roman" w:hAnsi="Times New Roman" w:cs="Times New Roman"/>
          <w:sz w:val="28"/>
          <w:szCs w:val="28"/>
        </w:rPr>
        <w:t>Sul punto infatti la Direttiva europea afferma all’art. 29 che “gli stati europei dovrebbero poter limitare la partecipazione obbligatoria delle autorità giudiziarie o amministrative alle situazioni in cui essa sia necessarie e proporzionata, tenendo pur sempre conto, tra l’altro, dell’obiettivo di tutelare i diritti e gli interessi dei debitori e delle parti interessate così come dell’obiettivo di ridurre i ritardi e i costi delle procedure.”</w:t>
      </w:r>
    </w:p>
    <w:p w:rsidR="00D74F34" w:rsidRPr="00E3315C" w:rsidRDefault="00D74F34" w:rsidP="00C17D16">
      <w:pPr>
        <w:spacing w:line="520" w:lineRule="atLeast"/>
        <w:jc w:val="both"/>
        <w:rPr>
          <w:rFonts w:ascii="Times New Roman" w:hAnsi="Times New Roman" w:cs="Times New Roman"/>
          <w:sz w:val="28"/>
          <w:szCs w:val="28"/>
        </w:rPr>
      </w:pPr>
      <w:r w:rsidRPr="00E3315C">
        <w:rPr>
          <w:rFonts w:ascii="Times New Roman" w:hAnsi="Times New Roman" w:cs="Times New Roman"/>
          <w:sz w:val="28"/>
          <w:szCs w:val="28"/>
        </w:rPr>
        <w:t xml:space="preserve">La direttiva è </w:t>
      </w:r>
      <w:r w:rsidR="00A048B8">
        <w:rPr>
          <w:rFonts w:ascii="Times New Roman" w:hAnsi="Times New Roman" w:cs="Times New Roman"/>
          <w:sz w:val="28"/>
          <w:szCs w:val="28"/>
        </w:rPr>
        <w:t>normativa</w:t>
      </w:r>
      <w:r w:rsidRPr="00E3315C">
        <w:rPr>
          <w:rFonts w:ascii="Times New Roman" w:hAnsi="Times New Roman" w:cs="Times New Roman"/>
          <w:sz w:val="28"/>
          <w:szCs w:val="28"/>
        </w:rPr>
        <w:t xml:space="preserve"> di cui occorre tenere conto</w:t>
      </w:r>
      <w:r w:rsidR="00A048B8">
        <w:rPr>
          <w:rFonts w:ascii="Times New Roman" w:hAnsi="Times New Roman" w:cs="Times New Roman"/>
          <w:sz w:val="28"/>
          <w:szCs w:val="28"/>
        </w:rPr>
        <w:t xml:space="preserve"> nel nostro lavoro</w:t>
      </w:r>
      <w:r w:rsidRPr="00E3315C">
        <w:rPr>
          <w:rFonts w:ascii="Times New Roman" w:hAnsi="Times New Roman" w:cs="Times New Roman"/>
          <w:sz w:val="28"/>
          <w:szCs w:val="28"/>
        </w:rPr>
        <w:t xml:space="preserve">. </w:t>
      </w:r>
    </w:p>
    <w:p w:rsidR="000B632E" w:rsidRPr="00E3315C" w:rsidRDefault="000B632E" w:rsidP="00C17D16">
      <w:pPr>
        <w:spacing w:line="520" w:lineRule="atLeast"/>
        <w:jc w:val="both"/>
        <w:rPr>
          <w:rFonts w:ascii="Times New Roman" w:hAnsi="Times New Roman" w:cs="Times New Roman"/>
          <w:sz w:val="28"/>
          <w:szCs w:val="28"/>
        </w:rPr>
      </w:pPr>
      <w:r w:rsidRPr="00E3315C">
        <w:rPr>
          <w:rFonts w:ascii="Times New Roman" w:hAnsi="Times New Roman" w:cs="Times New Roman"/>
          <w:sz w:val="28"/>
          <w:szCs w:val="28"/>
        </w:rPr>
        <w:lastRenderedPageBreak/>
        <w:t xml:space="preserve">Afferma la Direttiva che “L'obiettivo della presente direttiva è </w:t>
      </w:r>
      <w:r w:rsidRPr="00E3315C">
        <w:rPr>
          <w:rFonts w:ascii="Times New Roman" w:hAnsi="Times New Roman" w:cs="Times New Roman"/>
          <w:b/>
          <w:bCs/>
          <w:i/>
          <w:iCs/>
          <w:sz w:val="28"/>
          <w:szCs w:val="28"/>
        </w:rPr>
        <w:t xml:space="preserve">contribuire al corretto funzionamento del mercato interno nonché </w:t>
      </w:r>
      <w:r w:rsidRPr="00E3315C">
        <w:rPr>
          <w:rFonts w:ascii="Times New Roman" w:hAnsi="Times New Roman" w:cs="Times New Roman"/>
          <w:sz w:val="28"/>
          <w:szCs w:val="28"/>
        </w:rPr>
        <w:t xml:space="preserve">eliminare gli ostacoli all'esercizio delle libertà fondamentali, quali la libera circolazione dei capitali e la libertà di stabilimento, che derivano dalle differenze tra le legislazioni e procedure nazionali in materia di ristrutturazione preventiva, insolvenza, </w:t>
      </w:r>
      <w:proofErr w:type="spellStart"/>
      <w:r w:rsidRPr="00E3315C">
        <w:rPr>
          <w:rFonts w:ascii="Times New Roman" w:hAnsi="Times New Roman" w:cs="Times New Roman"/>
          <w:b/>
          <w:bCs/>
          <w:i/>
          <w:iCs/>
          <w:sz w:val="28"/>
          <w:szCs w:val="28"/>
        </w:rPr>
        <w:t>esdebitazione</w:t>
      </w:r>
      <w:proofErr w:type="spellEnd"/>
      <w:r w:rsidRPr="00E3315C">
        <w:rPr>
          <w:rFonts w:ascii="Times New Roman" w:hAnsi="Times New Roman" w:cs="Times New Roman"/>
          <w:b/>
          <w:bCs/>
          <w:i/>
          <w:iCs/>
          <w:sz w:val="28"/>
          <w:szCs w:val="28"/>
        </w:rPr>
        <w:t xml:space="preserve"> e interdizioni</w:t>
      </w:r>
      <w:r w:rsidRPr="00E3315C">
        <w:rPr>
          <w:rFonts w:ascii="Times New Roman" w:hAnsi="Times New Roman" w:cs="Times New Roman"/>
          <w:sz w:val="28"/>
          <w:szCs w:val="28"/>
        </w:rPr>
        <w:t>.”</w:t>
      </w:r>
    </w:p>
    <w:p w:rsidR="000B632E" w:rsidRPr="00E3315C" w:rsidRDefault="000B632E" w:rsidP="00C17D16">
      <w:pPr>
        <w:spacing w:line="520" w:lineRule="atLeast"/>
        <w:jc w:val="both"/>
        <w:rPr>
          <w:rFonts w:ascii="Times New Roman" w:hAnsi="Times New Roman" w:cs="Times New Roman"/>
          <w:sz w:val="28"/>
          <w:szCs w:val="28"/>
        </w:rPr>
      </w:pPr>
      <w:r w:rsidRPr="00E3315C">
        <w:rPr>
          <w:rFonts w:ascii="Times New Roman" w:hAnsi="Times New Roman" w:cs="Times New Roman"/>
          <w:sz w:val="28"/>
          <w:szCs w:val="28"/>
        </w:rPr>
        <w:t>Obiettivo  è quindi quello di stabilire a livello di Unione Europea norme minime per le procedure di ristrutturazione preventiva come per le norme che portano all’</w:t>
      </w:r>
      <w:proofErr w:type="spellStart"/>
      <w:r w:rsidRPr="00E3315C">
        <w:rPr>
          <w:rFonts w:ascii="Times New Roman" w:hAnsi="Times New Roman" w:cs="Times New Roman"/>
          <w:sz w:val="28"/>
          <w:szCs w:val="28"/>
        </w:rPr>
        <w:t>esdebitazione</w:t>
      </w:r>
      <w:proofErr w:type="spellEnd"/>
      <w:r w:rsidRPr="00E3315C">
        <w:rPr>
          <w:rFonts w:ascii="Times New Roman" w:hAnsi="Times New Roman" w:cs="Times New Roman"/>
          <w:sz w:val="28"/>
          <w:szCs w:val="28"/>
        </w:rPr>
        <w:t xml:space="preserve"> dai debiti contratti dagli imprenditori. Questo avrebbe secondo l’Unione Europea una serie di vantaggi, consentendo a tutti gli imprenditori un accesso più rapido alle procedure con l’effetto che gli imprenditori sani possono continuare ad operare e  quelli insolventi o sovra indebitati possono beneficiare di una seconda opportunità (</w:t>
      </w:r>
      <w:r w:rsidR="009F228D">
        <w:rPr>
          <w:rFonts w:ascii="Times New Roman" w:hAnsi="Times New Roman" w:cs="Times New Roman"/>
          <w:sz w:val="28"/>
          <w:szCs w:val="28"/>
        </w:rPr>
        <w:t>punto centrale</w:t>
      </w:r>
      <w:r w:rsidRPr="00E3315C">
        <w:rPr>
          <w:rFonts w:ascii="Times New Roman" w:hAnsi="Times New Roman" w:cs="Times New Roman"/>
          <w:sz w:val="28"/>
          <w:szCs w:val="28"/>
        </w:rPr>
        <w:t xml:space="preserve">) con riduzione dei costi di ristrutturazione. Le società solo nazionali sono poche, e comunque l’insolvenza di un’impresa solo nazionale ha un effetto domino su altri soggetti.  </w:t>
      </w:r>
    </w:p>
    <w:p w:rsidR="000B632E" w:rsidRPr="00E3315C" w:rsidRDefault="000B632E" w:rsidP="00C17D16">
      <w:pPr>
        <w:spacing w:line="520" w:lineRule="atLeast"/>
        <w:jc w:val="both"/>
        <w:rPr>
          <w:rFonts w:ascii="Times New Roman" w:hAnsi="Times New Roman" w:cs="Times New Roman"/>
          <w:sz w:val="28"/>
          <w:szCs w:val="28"/>
        </w:rPr>
      </w:pPr>
      <w:r w:rsidRPr="00E3315C">
        <w:rPr>
          <w:rFonts w:ascii="Times New Roman" w:hAnsi="Times New Roman" w:cs="Times New Roman"/>
          <w:sz w:val="28"/>
          <w:szCs w:val="28"/>
        </w:rPr>
        <w:t xml:space="preserve">Rimane salvo il regolamento </w:t>
      </w:r>
      <w:r w:rsidR="009F228D">
        <w:rPr>
          <w:rFonts w:ascii="Times New Roman" w:hAnsi="Times New Roman" w:cs="Times New Roman"/>
          <w:sz w:val="28"/>
          <w:szCs w:val="28"/>
        </w:rPr>
        <w:t xml:space="preserve">europeo n. </w:t>
      </w:r>
      <w:r w:rsidRPr="00E3315C">
        <w:rPr>
          <w:rFonts w:ascii="Times New Roman" w:hAnsi="Times New Roman" w:cs="Times New Roman"/>
          <w:sz w:val="28"/>
          <w:szCs w:val="28"/>
        </w:rPr>
        <w:t xml:space="preserve">2015/848 che è strumento limitato all’insolvenza transfrontaliera, prevede tra l’altro garanzie contro il trasferimento pretestuoso degli interessi principali del debitore da un paese all’altro, ma non affronta il problema delle disparità tra le norme nazionali che regolamentano le procedure di ristrutturazione ed insolvenza. </w:t>
      </w:r>
    </w:p>
    <w:p w:rsidR="000B632E" w:rsidRPr="00E3315C" w:rsidRDefault="000B632E" w:rsidP="00C17D16">
      <w:pPr>
        <w:spacing w:line="520" w:lineRule="atLeast"/>
        <w:jc w:val="both"/>
        <w:rPr>
          <w:rFonts w:ascii="Times New Roman" w:hAnsi="Times New Roman" w:cs="Times New Roman"/>
          <w:sz w:val="28"/>
          <w:szCs w:val="28"/>
        </w:rPr>
      </w:pPr>
      <w:r w:rsidRPr="00E3315C">
        <w:rPr>
          <w:rFonts w:ascii="Times New Roman" w:hAnsi="Times New Roman" w:cs="Times New Roman"/>
          <w:sz w:val="28"/>
          <w:szCs w:val="28"/>
        </w:rPr>
        <w:t>Occorrerà verificare la compatibilità tra le norme della direttiva e il codice della crisi</w:t>
      </w:r>
      <w:r w:rsidR="000A2AC9" w:rsidRPr="00E3315C">
        <w:rPr>
          <w:rFonts w:ascii="Times New Roman" w:hAnsi="Times New Roman" w:cs="Times New Roman"/>
          <w:sz w:val="28"/>
          <w:szCs w:val="28"/>
        </w:rPr>
        <w:t xml:space="preserve"> </w:t>
      </w:r>
      <w:r w:rsidR="009F228D">
        <w:rPr>
          <w:rFonts w:ascii="Times New Roman" w:hAnsi="Times New Roman" w:cs="Times New Roman"/>
          <w:sz w:val="28"/>
          <w:szCs w:val="28"/>
        </w:rPr>
        <w:t xml:space="preserve">(ad es. per quanto riguarda la continuità, le classi, la partecipazione dei dipendenti), </w:t>
      </w:r>
      <w:r w:rsidR="000A2AC9" w:rsidRPr="00E3315C">
        <w:rPr>
          <w:rFonts w:ascii="Times New Roman" w:hAnsi="Times New Roman" w:cs="Times New Roman"/>
          <w:sz w:val="28"/>
          <w:szCs w:val="28"/>
        </w:rPr>
        <w:t>anche al fine di evitare che poi ci siamo decisioni giurisprudenziali che creano incertezza</w:t>
      </w:r>
      <w:r w:rsidRPr="00E3315C">
        <w:rPr>
          <w:rFonts w:ascii="Times New Roman" w:hAnsi="Times New Roman" w:cs="Times New Roman"/>
          <w:sz w:val="28"/>
          <w:szCs w:val="28"/>
        </w:rPr>
        <w:t>.</w:t>
      </w:r>
    </w:p>
    <w:p w:rsidR="000B632E" w:rsidRPr="00E3315C" w:rsidRDefault="000B632E" w:rsidP="00C17D16">
      <w:pPr>
        <w:spacing w:line="520" w:lineRule="atLeast"/>
        <w:jc w:val="both"/>
        <w:rPr>
          <w:rFonts w:ascii="Times New Roman" w:hAnsi="Times New Roman" w:cs="Times New Roman"/>
          <w:sz w:val="28"/>
          <w:szCs w:val="28"/>
        </w:rPr>
      </w:pPr>
      <w:r w:rsidRPr="00E3315C">
        <w:rPr>
          <w:rFonts w:ascii="Times New Roman" w:hAnsi="Times New Roman" w:cs="Times New Roman"/>
          <w:sz w:val="28"/>
          <w:szCs w:val="28"/>
        </w:rPr>
        <w:t>Al di là di possibili frizioni tra le norme,</w:t>
      </w:r>
      <w:r w:rsidR="000A2AC9" w:rsidRPr="00E3315C">
        <w:rPr>
          <w:rFonts w:ascii="Times New Roman" w:hAnsi="Times New Roman" w:cs="Times New Roman"/>
          <w:sz w:val="28"/>
          <w:szCs w:val="28"/>
        </w:rPr>
        <w:t xml:space="preserve"> la direttiva  sembra scritta </w:t>
      </w:r>
      <w:r w:rsidRPr="00E3315C">
        <w:rPr>
          <w:rFonts w:ascii="Times New Roman" w:hAnsi="Times New Roman" w:cs="Times New Roman"/>
          <w:sz w:val="28"/>
          <w:szCs w:val="28"/>
        </w:rPr>
        <w:t xml:space="preserve"> con una filosofia diversa, che è quella di strumento modulabile secondo le circostanze e le richieste delle parti (debitore e creditori)</w:t>
      </w:r>
      <w:r w:rsidR="009F228D">
        <w:rPr>
          <w:rFonts w:ascii="Times New Roman" w:hAnsi="Times New Roman" w:cs="Times New Roman"/>
          <w:sz w:val="28"/>
          <w:szCs w:val="28"/>
        </w:rPr>
        <w:t xml:space="preserve"> mentre il contenuto del CCI è più rigido</w:t>
      </w:r>
      <w:r w:rsidRPr="00E3315C">
        <w:rPr>
          <w:rFonts w:ascii="Times New Roman" w:hAnsi="Times New Roman" w:cs="Times New Roman"/>
          <w:sz w:val="28"/>
          <w:szCs w:val="28"/>
        </w:rPr>
        <w:t>.</w:t>
      </w:r>
    </w:p>
    <w:p w:rsidR="000B632E" w:rsidRPr="00E3315C" w:rsidRDefault="000B632E" w:rsidP="00C17D16">
      <w:pPr>
        <w:spacing w:line="520" w:lineRule="atLeast"/>
        <w:jc w:val="both"/>
        <w:rPr>
          <w:rFonts w:ascii="Times New Roman" w:hAnsi="Times New Roman" w:cs="Times New Roman"/>
          <w:sz w:val="28"/>
          <w:szCs w:val="28"/>
        </w:rPr>
      </w:pPr>
      <w:r w:rsidRPr="00E3315C">
        <w:rPr>
          <w:rFonts w:ascii="Times New Roman" w:hAnsi="Times New Roman" w:cs="Times New Roman"/>
          <w:sz w:val="28"/>
          <w:szCs w:val="28"/>
        </w:rPr>
        <w:t>Non sempre sarà facile perché il linguaggio usato è complesso, non sempre di facile lettura.</w:t>
      </w:r>
    </w:p>
    <w:p w:rsidR="0079744D" w:rsidRPr="00E3315C" w:rsidRDefault="009F4418" w:rsidP="00C17D16">
      <w:pPr>
        <w:spacing w:line="520" w:lineRule="atLeast"/>
        <w:jc w:val="both"/>
        <w:rPr>
          <w:rFonts w:ascii="Times New Roman" w:hAnsi="Times New Roman" w:cs="Times New Roman"/>
          <w:sz w:val="28"/>
          <w:szCs w:val="28"/>
        </w:rPr>
      </w:pPr>
      <w:r>
        <w:rPr>
          <w:rFonts w:ascii="Times New Roman" w:hAnsi="Times New Roman" w:cs="Times New Roman"/>
          <w:sz w:val="28"/>
          <w:szCs w:val="28"/>
        </w:rPr>
        <w:t>Tornando al CCI, si deve osservare che i</w:t>
      </w:r>
      <w:r w:rsidR="002D03EE" w:rsidRPr="00E3315C">
        <w:rPr>
          <w:rFonts w:ascii="Times New Roman" w:hAnsi="Times New Roman" w:cs="Times New Roman"/>
          <w:sz w:val="28"/>
          <w:szCs w:val="28"/>
        </w:rPr>
        <w:t xml:space="preserve">l legislatore ha distinto parte procedimentale (prospettandola come unitaria, con un unico percorso per arrivare ai diversi mezzi di gestione della crisi) distinguendola da quella dedicati ai singoli mezzi di gestione della crisi.  </w:t>
      </w:r>
    </w:p>
    <w:p w:rsidR="008637DA" w:rsidRPr="00EA27CA" w:rsidRDefault="00EA27CA" w:rsidP="00C17D16">
      <w:pPr>
        <w:spacing w:line="520" w:lineRule="atLeast"/>
        <w:jc w:val="both"/>
        <w:rPr>
          <w:rFonts w:ascii="Times New Roman" w:hAnsi="Times New Roman" w:cs="Times New Roman"/>
          <w:b/>
          <w:sz w:val="28"/>
          <w:szCs w:val="28"/>
        </w:rPr>
      </w:pPr>
      <w:r>
        <w:rPr>
          <w:rFonts w:ascii="Times New Roman" w:hAnsi="Times New Roman" w:cs="Times New Roman"/>
          <w:b/>
          <w:sz w:val="28"/>
          <w:szCs w:val="28"/>
        </w:rPr>
        <w:t>-</w:t>
      </w:r>
      <w:r w:rsidRPr="00EA27CA">
        <w:rPr>
          <w:rFonts w:ascii="Times New Roman" w:hAnsi="Times New Roman" w:cs="Times New Roman"/>
          <w:b/>
          <w:sz w:val="28"/>
          <w:szCs w:val="28"/>
        </w:rPr>
        <w:t xml:space="preserve">IL </w:t>
      </w:r>
      <w:r w:rsidR="00BB0FBE" w:rsidRPr="00EA27CA">
        <w:rPr>
          <w:rFonts w:ascii="Times New Roman" w:hAnsi="Times New Roman" w:cs="Times New Roman"/>
          <w:b/>
          <w:sz w:val="28"/>
          <w:szCs w:val="28"/>
        </w:rPr>
        <w:t xml:space="preserve">PIANO ATTESTATO ART. 56 </w:t>
      </w:r>
      <w:r w:rsidR="00E818B3" w:rsidRPr="00EA27CA">
        <w:rPr>
          <w:rFonts w:ascii="Times New Roman" w:hAnsi="Times New Roman" w:cs="Times New Roman"/>
          <w:b/>
          <w:sz w:val="28"/>
          <w:szCs w:val="28"/>
        </w:rPr>
        <w:t xml:space="preserve"> </w:t>
      </w:r>
    </w:p>
    <w:p w:rsidR="009F4418" w:rsidRPr="009F4418" w:rsidRDefault="009F4418" w:rsidP="00C17D16">
      <w:pPr>
        <w:spacing w:line="520" w:lineRule="atLeast"/>
        <w:jc w:val="both"/>
        <w:rPr>
          <w:rFonts w:ascii="Times New Roman" w:hAnsi="Times New Roman" w:cs="Times New Roman"/>
          <w:sz w:val="28"/>
          <w:szCs w:val="28"/>
        </w:rPr>
      </w:pPr>
      <w:r w:rsidRPr="009F4418">
        <w:rPr>
          <w:rFonts w:ascii="Times New Roman" w:hAnsi="Times New Roman" w:cs="Times New Roman"/>
          <w:sz w:val="28"/>
          <w:szCs w:val="28"/>
        </w:rPr>
        <w:t xml:space="preserve">Il primo istituto che si incontra è il piano attestato. </w:t>
      </w:r>
    </w:p>
    <w:p w:rsidR="008637DA" w:rsidRPr="00E3315C" w:rsidRDefault="009C7006" w:rsidP="00C17D16">
      <w:pPr>
        <w:spacing w:line="520" w:lineRule="atLeast"/>
        <w:jc w:val="both"/>
        <w:rPr>
          <w:rFonts w:ascii="Times New Roman" w:hAnsi="Times New Roman" w:cs="Times New Roman"/>
          <w:sz w:val="28"/>
          <w:szCs w:val="28"/>
        </w:rPr>
      </w:pPr>
      <w:r w:rsidRPr="00E3315C">
        <w:rPr>
          <w:rFonts w:ascii="Times New Roman" w:hAnsi="Times New Roman" w:cs="Times New Roman"/>
          <w:sz w:val="28"/>
          <w:szCs w:val="28"/>
        </w:rPr>
        <w:lastRenderedPageBreak/>
        <w:t xml:space="preserve">La prima osservazione </w:t>
      </w:r>
      <w:r w:rsidR="009F4418">
        <w:rPr>
          <w:rFonts w:ascii="Times New Roman" w:hAnsi="Times New Roman" w:cs="Times New Roman"/>
          <w:sz w:val="28"/>
          <w:szCs w:val="28"/>
        </w:rPr>
        <w:t xml:space="preserve">da fare </w:t>
      </w:r>
      <w:r w:rsidRPr="00E3315C">
        <w:rPr>
          <w:rFonts w:ascii="Times New Roman" w:hAnsi="Times New Roman" w:cs="Times New Roman"/>
          <w:sz w:val="28"/>
          <w:szCs w:val="28"/>
        </w:rPr>
        <w:t xml:space="preserve">è che </w:t>
      </w:r>
      <w:r w:rsidR="009F4418">
        <w:rPr>
          <w:rFonts w:ascii="Times New Roman" w:hAnsi="Times New Roman" w:cs="Times New Roman"/>
          <w:sz w:val="28"/>
          <w:szCs w:val="28"/>
        </w:rPr>
        <w:t xml:space="preserve">esso </w:t>
      </w:r>
      <w:r w:rsidRPr="00E3315C">
        <w:rPr>
          <w:rFonts w:ascii="Times New Roman" w:hAnsi="Times New Roman" w:cs="Times New Roman"/>
          <w:sz w:val="28"/>
          <w:szCs w:val="28"/>
        </w:rPr>
        <w:t>n</w:t>
      </w:r>
      <w:r w:rsidR="008637DA" w:rsidRPr="00E3315C">
        <w:rPr>
          <w:rFonts w:ascii="Times New Roman" w:hAnsi="Times New Roman" w:cs="Times New Roman"/>
          <w:sz w:val="28"/>
          <w:szCs w:val="28"/>
        </w:rPr>
        <w:t xml:space="preserve">on è più regolato all’interno della </w:t>
      </w:r>
      <w:r w:rsidR="009F4418">
        <w:rPr>
          <w:rFonts w:ascii="Times New Roman" w:hAnsi="Times New Roman" w:cs="Times New Roman"/>
          <w:sz w:val="28"/>
          <w:szCs w:val="28"/>
        </w:rPr>
        <w:t xml:space="preserve">normativa sulla </w:t>
      </w:r>
      <w:r w:rsidR="008637DA" w:rsidRPr="00E3315C">
        <w:rPr>
          <w:rFonts w:ascii="Times New Roman" w:hAnsi="Times New Roman" w:cs="Times New Roman"/>
          <w:sz w:val="28"/>
          <w:szCs w:val="28"/>
        </w:rPr>
        <w:t>revocatoria, la riforma prende atto che la rilevanza del pat</w:t>
      </w:r>
      <w:r w:rsidR="009F4418">
        <w:rPr>
          <w:rFonts w:ascii="Times New Roman" w:hAnsi="Times New Roman" w:cs="Times New Roman"/>
          <w:sz w:val="28"/>
          <w:szCs w:val="28"/>
        </w:rPr>
        <w:t>to è più ampia di tale istituto</w:t>
      </w:r>
      <w:r w:rsidR="008637DA" w:rsidRPr="00E3315C">
        <w:rPr>
          <w:rFonts w:ascii="Times New Roman" w:hAnsi="Times New Roman" w:cs="Times New Roman"/>
          <w:sz w:val="28"/>
          <w:szCs w:val="28"/>
        </w:rPr>
        <w:t>.</w:t>
      </w:r>
    </w:p>
    <w:p w:rsidR="008637DA" w:rsidRPr="00E3315C" w:rsidRDefault="009F4418" w:rsidP="00C17D16">
      <w:pPr>
        <w:spacing w:line="520" w:lineRule="atLeast"/>
        <w:jc w:val="both"/>
        <w:rPr>
          <w:rFonts w:ascii="Times New Roman" w:hAnsi="Times New Roman" w:cs="Times New Roman"/>
          <w:sz w:val="28"/>
          <w:szCs w:val="28"/>
        </w:rPr>
      </w:pPr>
      <w:r>
        <w:rPr>
          <w:rFonts w:ascii="Times New Roman" w:hAnsi="Times New Roman" w:cs="Times New Roman"/>
          <w:sz w:val="28"/>
          <w:szCs w:val="28"/>
        </w:rPr>
        <w:t>Il CCI le riconosce la</w:t>
      </w:r>
      <w:r w:rsidR="00084CD1" w:rsidRPr="00E3315C">
        <w:rPr>
          <w:rFonts w:ascii="Times New Roman" w:hAnsi="Times New Roman" w:cs="Times New Roman"/>
          <w:sz w:val="28"/>
          <w:szCs w:val="28"/>
        </w:rPr>
        <w:t xml:space="preserve"> necessaria natura negoziale (si parla</w:t>
      </w:r>
      <w:r w:rsidR="008637DA" w:rsidRPr="00E3315C">
        <w:rPr>
          <w:rFonts w:ascii="Times New Roman" w:hAnsi="Times New Roman" w:cs="Times New Roman"/>
          <w:sz w:val="28"/>
          <w:szCs w:val="28"/>
        </w:rPr>
        <w:t xml:space="preserve"> di accordi</w:t>
      </w:r>
      <w:r w:rsidR="00084CD1" w:rsidRPr="00E3315C">
        <w:rPr>
          <w:rFonts w:ascii="Times New Roman" w:hAnsi="Times New Roman" w:cs="Times New Roman"/>
          <w:sz w:val="28"/>
          <w:szCs w:val="28"/>
        </w:rPr>
        <w:t>)</w:t>
      </w:r>
      <w:r w:rsidR="008637DA" w:rsidRPr="00E3315C">
        <w:rPr>
          <w:rFonts w:ascii="Times New Roman" w:hAnsi="Times New Roman" w:cs="Times New Roman"/>
          <w:sz w:val="28"/>
          <w:szCs w:val="28"/>
        </w:rPr>
        <w:t xml:space="preserve"> escludendo la possibilità che si riteneva sussistente prima dei piani unilaterali. </w:t>
      </w:r>
    </w:p>
    <w:p w:rsidR="00084CD1" w:rsidRPr="00E3315C" w:rsidRDefault="00084CD1" w:rsidP="00C17D16">
      <w:pPr>
        <w:spacing w:line="520" w:lineRule="atLeast"/>
        <w:jc w:val="both"/>
        <w:rPr>
          <w:rFonts w:ascii="Times New Roman" w:hAnsi="Times New Roman" w:cs="Times New Roman"/>
          <w:sz w:val="28"/>
          <w:szCs w:val="28"/>
        </w:rPr>
      </w:pPr>
      <w:r w:rsidRPr="00E3315C">
        <w:rPr>
          <w:rFonts w:ascii="Times New Roman" w:hAnsi="Times New Roman" w:cs="Times New Roman"/>
          <w:sz w:val="28"/>
          <w:szCs w:val="28"/>
        </w:rPr>
        <w:t>I piani mantengono le loro principali caratteristiche:</w:t>
      </w:r>
    </w:p>
    <w:p w:rsidR="00084CD1" w:rsidRPr="00E3315C" w:rsidRDefault="00084CD1" w:rsidP="00C17D16">
      <w:pPr>
        <w:spacing w:line="520" w:lineRule="atLeast"/>
        <w:jc w:val="both"/>
        <w:rPr>
          <w:rFonts w:ascii="Times New Roman" w:hAnsi="Times New Roman" w:cs="Times New Roman"/>
          <w:sz w:val="28"/>
          <w:szCs w:val="28"/>
        </w:rPr>
      </w:pPr>
      <w:r w:rsidRPr="00E3315C">
        <w:rPr>
          <w:rFonts w:ascii="Times New Roman" w:hAnsi="Times New Roman" w:cs="Times New Roman"/>
          <w:sz w:val="28"/>
          <w:szCs w:val="28"/>
        </w:rPr>
        <w:t>-sono riservati all’imprenditore in stato di crisi o di insolvenza;</w:t>
      </w:r>
    </w:p>
    <w:p w:rsidR="00084CD1" w:rsidRPr="00E3315C" w:rsidRDefault="00084CD1" w:rsidP="00C17D16">
      <w:pPr>
        <w:spacing w:line="520" w:lineRule="atLeast"/>
        <w:jc w:val="both"/>
        <w:rPr>
          <w:rFonts w:ascii="Times New Roman" w:hAnsi="Times New Roman" w:cs="Times New Roman"/>
          <w:sz w:val="28"/>
          <w:szCs w:val="28"/>
        </w:rPr>
      </w:pPr>
      <w:r w:rsidRPr="00E3315C">
        <w:rPr>
          <w:rFonts w:ascii="Times New Roman" w:hAnsi="Times New Roman" w:cs="Times New Roman"/>
          <w:sz w:val="28"/>
          <w:szCs w:val="28"/>
        </w:rPr>
        <w:t>-l’imprenditore può essere anche non commerciale;</w:t>
      </w:r>
    </w:p>
    <w:p w:rsidR="00084CD1" w:rsidRPr="00E3315C" w:rsidRDefault="00084CD1" w:rsidP="00C17D16">
      <w:pPr>
        <w:spacing w:line="520" w:lineRule="atLeast"/>
        <w:jc w:val="both"/>
        <w:rPr>
          <w:rFonts w:ascii="Times New Roman" w:hAnsi="Times New Roman" w:cs="Times New Roman"/>
          <w:sz w:val="28"/>
          <w:szCs w:val="28"/>
        </w:rPr>
      </w:pPr>
      <w:r w:rsidRPr="00E3315C">
        <w:rPr>
          <w:rFonts w:ascii="Times New Roman" w:hAnsi="Times New Roman" w:cs="Times New Roman"/>
          <w:sz w:val="28"/>
          <w:szCs w:val="28"/>
        </w:rPr>
        <w:t>-la pubblicazione del piano nel registro delle imprese continua ad essere una me</w:t>
      </w:r>
      <w:r w:rsidR="009F4418">
        <w:rPr>
          <w:rFonts w:ascii="Times New Roman" w:hAnsi="Times New Roman" w:cs="Times New Roman"/>
          <w:sz w:val="28"/>
          <w:szCs w:val="28"/>
        </w:rPr>
        <w:t>ra possibilità e non un obbligo.</w:t>
      </w:r>
    </w:p>
    <w:p w:rsidR="00E818B3" w:rsidRPr="00E3315C" w:rsidRDefault="00E818B3" w:rsidP="00C17D16">
      <w:pPr>
        <w:spacing w:line="520" w:lineRule="atLeast"/>
        <w:jc w:val="both"/>
        <w:rPr>
          <w:rFonts w:ascii="Times New Roman" w:hAnsi="Times New Roman" w:cs="Times New Roman"/>
          <w:sz w:val="28"/>
          <w:szCs w:val="28"/>
        </w:rPr>
      </w:pPr>
      <w:r w:rsidRPr="00E3315C">
        <w:rPr>
          <w:rFonts w:ascii="Times New Roman" w:hAnsi="Times New Roman" w:cs="Times New Roman"/>
          <w:sz w:val="28"/>
          <w:szCs w:val="28"/>
        </w:rPr>
        <w:t>La norma prevede il contenuto minimo del piano</w:t>
      </w:r>
      <w:r w:rsidR="00EA27CA">
        <w:rPr>
          <w:rFonts w:ascii="Times New Roman" w:hAnsi="Times New Roman" w:cs="Times New Roman"/>
          <w:sz w:val="28"/>
          <w:szCs w:val="28"/>
        </w:rPr>
        <w:t>.</w:t>
      </w:r>
    </w:p>
    <w:p w:rsidR="00E818B3" w:rsidRPr="00E3315C" w:rsidRDefault="00E818B3" w:rsidP="00C17D16">
      <w:pPr>
        <w:spacing w:line="520" w:lineRule="atLeast"/>
        <w:jc w:val="both"/>
        <w:rPr>
          <w:rFonts w:ascii="Times New Roman" w:hAnsi="Times New Roman" w:cs="Times New Roman"/>
          <w:sz w:val="28"/>
          <w:szCs w:val="28"/>
        </w:rPr>
      </w:pPr>
      <w:r w:rsidRPr="00E3315C">
        <w:rPr>
          <w:rFonts w:ascii="Times New Roman" w:hAnsi="Times New Roman" w:cs="Times New Roman"/>
          <w:sz w:val="28"/>
          <w:szCs w:val="28"/>
        </w:rPr>
        <w:t xml:space="preserve">Il piano deve avere data certa e deve indicare: a) la situazione economico-patrimoniale e finanziaria dell'impresa; b) le principali cause della crisi; c) le strategie d'intervento e dei tempi necessari per assicurare il riequilibrio della situazione finanziaria; d) i creditori e l'ammontare dei crediti dei quali si propone la rinegoziazione e lo stato delle eventuali trattative; d) gli apporti di finanza nuova; e) i tempi delle azioni da compiersi, che consentono di verificarne la realizzazione, </w:t>
      </w:r>
      <w:proofErr w:type="spellStart"/>
      <w:r w:rsidRPr="00E3315C">
        <w:rPr>
          <w:rFonts w:ascii="Times New Roman" w:hAnsi="Times New Roman" w:cs="Times New Roman"/>
          <w:sz w:val="28"/>
          <w:szCs w:val="28"/>
        </w:rPr>
        <w:t>nonche</w:t>
      </w:r>
      <w:proofErr w:type="spellEnd"/>
      <w:r w:rsidRPr="00E3315C">
        <w:rPr>
          <w:rFonts w:ascii="Times New Roman" w:hAnsi="Times New Roman" w:cs="Times New Roman"/>
          <w:sz w:val="28"/>
          <w:szCs w:val="28"/>
        </w:rPr>
        <w:t>' gli strumenti da adottare nel caso di scostamento tra gli obiettivi e la situazione in atto</w:t>
      </w:r>
      <w:r w:rsidR="00B27594" w:rsidRPr="00E3315C">
        <w:rPr>
          <w:rFonts w:ascii="Times New Roman" w:hAnsi="Times New Roman" w:cs="Times New Roman"/>
          <w:sz w:val="28"/>
          <w:szCs w:val="28"/>
        </w:rPr>
        <w:t>.</w:t>
      </w:r>
    </w:p>
    <w:p w:rsidR="00B27594" w:rsidRPr="00E3315C" w:rsidRDefault="00B27594" w:rsidP="00C17D16">
      <w:pPr>
        <w:spacing w:line="520" w:lineRule="atLeast"/>
        <w:jc w:val="both"/>
        <w:rPr>
          <w:rFonts w:ascii="Times New Roman" w:hAnsi="Times New Roman" w:cs="Times New Roman"/>
          <w:sz w:val="28"/>
          <w:szCs w:val="28"/>
        </w:rPr>
      </w:pPr>
      <w:r w:rsidRPr="00E3315C">
        <w:rPr>
          <w:rFonts w:ascii="Times New Roman" w:hAnsi="Times New Roman" w:cs="Times New Roman"/>
          <w:sz w:val="28"/>
          <w:szCs w:val="28"/>
        </w:rPr>
        <w:t xml:space="preserve">Poiché già prima il piano doveva essere “idoneo a consentire il risanamento delle imprese e ad assicurare il riequilibrio della situazione finanziaria”, si pensava prima della riforma che potesse essere applicato solo alla continuità. Tesi rafforzata dal favor per la continuità della riforma. </w:t>
      </w:r>
    </w:p>
    <w:p w:rsidR="00B27594" w:rsidRPr="00E3315C" w:rsidRDefault="00B27594" w:rsidP="00C17D16">
      <w:pPr>
        <w:spacing w:line="520" w:lineRule="atLeast"/>
        <w:jc w:val="both"/>
        <w:rPr>
          <w:rFonts w:ascii="Times New Roman" w:hAnsi="Times New Roman" w:cs="Times New Roman"/>
          <w:sz w:val="28"/>
          <w:szCs w:val="28"/>
        </w:rPr>
      </w:pPr>
      <w:r w:rsidRPr="00E3315C">
        <w:rPr>
          <w:rFonts w:ascii="Times New Roman" w:hAnsi="Times New Roman" w:cs="Times New Roman"/>
          <w:sz w:val="28"/>
          <w:szCs w:val="28"/>
        </w:rPr>
        <w:t xml:space="preserve">Deve essere precisato nel piano il requisito della durata. </w:t>
      </w:r>
    </w:p>
    <w:p w:rsidR="00084CD1" w:rsidRPr="00E3315C" w:rsidRDefault="00E818B3" w:rsidP="00C17D16">
      <w:pPr>
        <w:spacing w:line="520" w:lineRule="atLeast"/>
        <w:jc w:val="both"/>
        <w:rPr>
          <w:rFonts w:ascii="Times New Roman" w:hAnsi="Times New Roman" w:cs="Times New Roman"/>
          <w:sz w:val="28"/>
          <w:szCs w:val="28"/>
        </w:rPr>
      </w:pPr>
      <w:r w:rsidRPr="00E3315C">
        <w:rPr>
          <w:rFonts w:ascii="Times New Roman" w:hAnsi="Times New Roman" w:cs="Times New Roman"/>
          <w:sz w:val="28"/>
          <w:szCs w:val="28"/>
        </w:rPr>
        <w:t>P</w:t>
      </w:r>
      <w:r w:rsidR="00084CD1" w:rsidRPr="00E3315C">
        <w:rPr>
          <w:rFonts w:ascii="Times New Roman" w:hAnsi="Times New Roman" w:cs="Times New Roman"/>
          <w:sz w:val="28"/>
          <w:szCs w:val="28"/>
        </w:rPr>
        <w:t xml:space="preserve">ermane la necessità di attestazione ad opera  di un professionista indipendente che deve attestare la </w:t>
      </w:r>
      <w:proofErr w:type="spellStart"/>
      <w:r w:rsidR="00084CD1" w:rsidRPr="00E3315C">
        <w:rPr>
          <w:rFonts w:ascii="Times New Roman" w:hAnsi="Times New Roman" w:cs="Times New Roman"/>
          <w:sz w:val="28"/>
          <w:szCs w:val="28"/>
        </w:rPr>
        <w:t>veridicita'</w:t>
      </w:r>
      <w:proofErr w:type="spellEnd"/>
      <w:r w:rsidR="00084CD1" w:rsidRPr="00E3315C">
        <w:rPr>
          <w:rFonts w:ascii="Times New Roman" w:hAnsi="Times New Roman" w:cs="Times New Roman"/>
          <w:sz w:val="28"/>
          <w:szCs w:val="28"/>
        </w:rPr>
        <w:t xml:space="preserve"> dei dati aziendali e la </w:t>
      </w:r>
      <w:proofErr w:type="spellStart"/>
      <w:r w:rsidR="00084CD1" w:rsidRPr="00E3315C">
        <w:rPr>
          <w:rFonts w:ascii="Times New Roman" w:hAnsi="Times New Roman" w:cs="Times New Roman"/>
          <w:sz w:val="28"/>
          <w:szCs w:val="28"/>
        </w:rPr>
        <w:t>fattibilita'</w:t>
      </w:r>
      <w:proofErr w:type="spellEnd"/>
      <w:r w:rsidR="00084CD1" w:rsidRPr="00E3315C">
        <w:rPr>
          <w:rFonts w:ascii="Times New Roman" w:hAnsi="Times New Roman" w:cs="Times New Roman"/>
          <w:sz w:val="28"/>
          <w:szCs w:val="28"/>
        </w:rPr>
        <w:t xml:space="preserve"> economica e giuridica del piano</w:t>
      </w:r>
      <w:r w:rsidRPr="00E3315C">
        <w:rPr>
          <w:rFonts w:ascii="Times New Roman" w:hAnsi="Times New Roman" w:cs="Times New Roman"/>
          <w:sz w:val="28"/>
          <w:szCs w:val="28"/>
        </w:rPr>
        <w:t xml:space="preserve"> (nel vecchio testo si parlava di attuabilità).</w:t>
      </w:r>
    </w:p>
    <w:p w:rsidR="00084CD1" w:rsidRPr="00E3315C" w:rsidRDefault="00C14E74" w:rsidP="00C17D16">
      <w:pPr>
        <w:pStyle w:val="Default"/>
        <w:spacing w:line="520" w:lineRule="atLeast"/>
        <w:jc w:val="both"/>
        <w:rPr>
          <w:sz w:val="28"/>
          <w:szCs w:val="28"/>
        </w:rPr>
      </w:pPr>
      <w:r w:rsidRPr="00E3315C">
        <w:rPr>
          <w:sz w:val="28"/>
          <w:szCs w:val="28"/>
        </w:rPr>
        <w:t>Il piano p</w:t>
      </w:r>
      <w:r w:rsidR="00084CD1" w:rsidRPr="00E3315C">
        <w:rPr>
          <w:sz w:val="28"/>
          <w:szCs w:val="28"/>
        </w:rPr>
        <w:t xml:space="preserve">roduce </w:t>
      </w:r>
      <w:r w:rsidR="00076000">
        <w:rPr>
          <w:sz w:val="28"/>
          <w:szCs w:val="28"/>
        </w:rPr>
        <w:t xml:space="preserve">quale </w:t>
      </w:r>
      <w:r w:rsidR="00084CD1" w:rsidRPr="00E3315C">
        <w:rPr>
          <w:sz w:val="28"/>
          <w:szCs w:val="28"/>
        </w:rPr>
        <w:t xml:space="preserve">effetto protettivo e incentivante l’esenzione penale dai reati di bancarotta (art. 324 Le disposizioni di cui agli articoli 322, comma 3 </w:t>
      </w:r>
      <w:r w:rsidRPr="00E3315C">
        <w:rPr>
          <w:sz w:val="28"/>
          <w:szCs w:val="28"/>
        </w:rPr>
        <w:t xml:space="preserve">(bancarotta preferenziale) </w:t>
      </w:r>
      <w:r w:rsidR="00084CD1" w:rsidRPr="00E3315C">
        <w:rPr>
          <w:sz w:val="28"/>
          <w:szCs w:val="28"/>
        </w:rPr>
        <w:t xml:space="preserve">e 323 </w:t>
      </w:r>
      <w:r w:rsidRPr="00E3315C">
        <w:rPr>
          <w:sz w:val="28"/>
          <w:szCs w:val="28"/>
        </w:rPr>
        <w:t>(bancarotta semplice)</w:t>
      </w:r>
      <w:r w:rsidR="00076000">
        <w:rPr>
          <w:sz w:val="28"/>
          <w:szCs w:val="28"/>
        </w:rPr>
        <w:t>)</w:t>
      </w:r>
      <w:r w:rsidRPr="00E3315C">
        <w:rPr>
          <w:sz w:val="28"/>
          <w:szCs w:val="28"/>
        </w:rPr>
        <w:t xml:space="preserve"> </w:t>
      </w:r>
      <w:r w:rsidR="00084CD1" w:rsidRPr="00E3315C">
        <w:rPr>
          <w:sz w:val="28"/>
          <w:szCs w:val="28"/>
        </w:rPr>
        <w:t>non si  applicano ai pagamenti e alle operazioni computi in esecuzione di un concordato preventivo o di accordi di ristrutturazione dei debiti omologati o degli accordi in esecuzione del piano attestato)</w:t>
      </w:r>
      <w:r w:rsidRPr="00E3315C">
        <w:rPr>
          <w:sz w:val="28"/>
          <w:szCs w:val="28"/>
        </w:rPr>
        <w:t>.</w:t>
      </w:r>
    </w:p>
    <w:p w:rsidR="007257B5" w:rsidRPr="00E3315C" w:rsidRDefault="00367CBC" w:rsidP="00C17D16">
      <w:pPr>
        <w:pStyle w:val="Default"/>
        <w:spacing w:line="520" w:lineRule="atLeast"/>
        <w:jc w:val="both"/>
        <w:rPr>
          <w:sz w:val="28"/>
          <w:szCs w:val="28"/>
        </w:rPr>
      </w:pPr>
      <w:r>
        <w:rPr>
          <w:sz w:val="28"/>
          <w:szCs w:val="28"/>
        </w:rPr>
        <w:lastRenderedPageBreak/>
        <w:t>L’</w:t>
      </w:r>
      <w:proofErr w:type="spellStart"/>
      <w:r w:rsidR="00EA224F" w:rsidRPr="00E3315C">
        <w:rPr>
          <w:sz w:val="28"/>
          <w:szCs w:val="28"/>
        </w:rPr>
        <w:t>rt</w:t>
      </w:r>
      <w:proofErr w:type="spellEnd"/>
      <w:r w:rsidR="00EA224F" w:rsidRPr="00E3315C">
        <w:rPr>
          <w:sz w:val="28"/>
          <w:szCs w:val="28"/>
        </w:rPr>
        <w:t xml:space="preserve"> 166</w:t>
      </w:r>
      <w:r>
        <w:rPr>
          <w:sz w:val="28"/>
          <w:szCs w:val="28"/>
        </w:rPr>
        <w:t xml:space="preserve"> CCI prevede l’</w:t>
      </w:r>
      <w:r w:rsidR="007257B5" w:rsidRPr="00E3315C">
        <w:rPr>
          <w:sz w:val="28"/>
          <w:szCs w:val="28"/>
        </w:rPr>
        <w:t xml:space="preserve"> esclusione </w:t>
      </w:r>
      <w:r w:rsidRPr="00BB0FBE">
        <w:rPr>
          <w:sz w:val="28"/>
          <w:szCs w:val="28"/>
        </w:rPr>
        <w:t xml:space="preserve">dall’azione </w:t>
      </w:r>
      <w:r w:rsidR="007257B5" w:rsidRPr="00BB0FBE">
        <w:rPr>
          <w:sz w:val="28"/>
          <w:szCs w:val="28"/>
        </w:rPr>
        <w:t>revocatoria</w:t>
      </w:r>
      <w:r w:rsidR="007257B5" w:rsidRPr="00E3315C">
        <w:rPr>
          <w:sz w:val="28"/>
          <w:szCs w:val="28"/>
        </w:rPr>
        <w:t xml:space="preserve"> </w:t>
      </w:r>
      <w:r>
        <w:rPr>
          <w:sz w:val="28"/>
          <w:szCs w:val="28"/>
        </w:rPr>
        <w:t xml:space="preserve">per </w:t>
      </w:r>
      <w:r w:rsidR="007257B5" w:rsidRPr="00E3315C">
        <w:rPr>
          <w:sz w:val="28"/>
          <w:szCs w:val="28"/>
        </w:rPr>
        <w:t xml:space="preserve">d) gli atti, i pagamenti effettuati e le garanzie concesse su beni del debitore posti in essere in esecuzione del piano attestato di cui all'articolo 56 o di cui all'articolo 284 e in esso indicati. </w:t>
      </w:r>
    </w:p>
    <w:p w:rsidR="007257B5" w:rsidRPr="00E3315C" w:rsidRDefault="007257B5" w:rsidP="00C17D16">
      <w:pPr>
        <w:pStyle w:val="Default"/>
        <w:spacing w:line="520" w:lineRule="atLeast"/>
        <w:jc w:val="both"/>
        <w:rPr>
          <w:sz w:val="28"/>
          <w:szCs w:val="28"/>
        </w:rPr>
      </w:pPr>
      <w:r w:rsidRPr="00E3315C">
        <w:rPr>
          <w:sz w:val="28"/>
          <w:szCs w:val="28"/>
        </w:rPr>
        <w:t>L'esclusione non opera in caso di dolo o colpa grave dell'attestatore</w:t>
      </w:r>
      <w:r w:rsidR="00B27594" w:rsidRPr="00E3315C">
        <w:rPr>
          <w:sz w:val="28"/>
          <w:szCs w:val="28"/>
        </w:rPr>
        <w:t xml:space="preserve"> </w:t>
      </w:r>
      <w:r w:rsidRPr="00E3315C">
        <w:rPr>
          <w:sz w:val="28"/>
          <w:szCs w:val="28"/>
        </w:rPr>
        <w:t>o di dolo o colpa grave del debitore, quando il creditore ne era a conoscenza al momento del compimento dell'atto, del pagamento o della costituzione della garanzia. L'esclusione opera anche con riguardo a</w:t>
      </w:r>
      <w:r w:rsidR="00EA224F" w:rsidRPr="00E3315C">
        <w:rPr>
          <w:sz w:val="28"/>
          <w:szCs w:val="28"/>
        </w:rPr>
        <w:t>ll'azione revocatoria ordinaria.</w:t>
      </w:r>
    </w:p>
    <w:p w:rsidR="00977B2A" w:rsidRPr="00E3315C" w:rsidRDefault="00977B2A" w:rsidP="00C17D16">
      <w:pPr>
        <w:spacing w:line="520" w:lineRule="atLeast"/>
        <w:jc w:val="both"/>
        <w:rPr>
          <w:rFonts w:ascii="Times New Roman" w:hAnsi="Times New Roman" w:cs="Times New Roman"/>
          <w:color w:val="000000"/>
          <w:sz w:val="28"/>
          <w:szCs w:val="28"/>
        </w:rPr>
      </w:pPr>
      <w:r w:rsidRPr="00E3315C">
        <w:rPr>
          <w:rFonts w:ascii="Times New Roman" w:hAnsi="Times New Roman" w:cs="Times New Roman"/>
          <w:sz w:val="28"/>
          <w:szCs w:val="28"/>
        </w:rPr>
        <w:t>La Cassazione aveva affermato che (sentenza 13719/2016) p</w:t>
      </w:r>
      <w:r w:rsidRPr="00E3315C">
        <w:rPr>
          <w:rFonts w:ascii="Times New Roman" w:hAnsi="Times New Roman" w:cs="Times New Roman"/>
          <w:color w:val="000000"/>
          <w:sz w:val="28"/>
          <w:szCs w:val="28"/>
        </w:rPr>
        <w:t xml:space="preserve">er ritenere esenti dalla domanda di revocatoria fallimentare proposta dalla curatela gli atti esecutivi di un piano attestato di risanamento il giudice deve verificare, con giudizio "ex ante", la manifesta idoneità del piano medesimo, del quale gli atti impugnati costituiscono strumento attuativo, a consentire il risanamento della esposizione debitoria dell'impresa e ad assicurare il riequilibrio della situazione finanziaria della stessa. </w:t>
      </w:r>
    </w:p>
    <w:p w:rsidR="00977B2A" w:rsidRPr="00E3315C" w:rsidRDefault="00977B2A" w:rsidP="00C17D16">
      <w:pPr>
        <w:spacing w:line="520" w:lineRule="atLeast"/>
        <w:jc w:val="both"/>
        <w:rPr>
          <w:rFonts w:ascii="Times New Roman" w:hAnsi="Times New Roman" w:cs="Times New Roman"/>
          <w:sz w:val="28"/>
          <w:szCs w:val="28"/>
        </w:rPr>
      </w:pPr>
      <w:r w:rsidRPr="00E3315C">
        <w:rPr>
          <w:rFonts w:ascii="Times New Roman" w:hAnsi="Times New Roman" w:cs="Times New Roman"/>
          <w:sz w:val="28"/>
          <w:szCs w:val="28"/>
        </w:rPr>
        <w:t>Le decisioni assunte dalla Cassazione nel 2016 hanno proiettato una gravissima ombra di incertezza sull’efficacia dell’esenzione</w:t>
      </w:r>
    </w:p>
    <w:p w:rsidR="00977B2A" w:rsidRPr="00E3315C" w:rsidRDefault="00977B2A" w:rsidP="00C17D16">
      <w:pPr>
        <w:spacing w:line="520" w:lineRule="atLeast"/>
        <w:jc w:val="both"/>
        <w:rPr>
          <w:rFonts w:ascii="Times New Roman" w:hAnsi="Times New Roman" w:cs="Times New Roman"/>
          <w:sz w:val="28"/>
          <w:szCs w:val="28"/>
        </w:rPr>
      </w:pPr>
      <w:r w:rsidRPr="00E3315C">
        <w:rPr>
          <w:rFonts w:ascii="Times New Roman" w:hAnsi="Times New Roman" w:cs="Times New Roman"/>
          <w:sz w:val="28"/>
          <w:szCs w:val="28"/>
        </w:rPr>
        <w:t>Il nuovo testo dell’art. 166 comma 3) lett. D) riduce di molto l’incertezza per il terzo, prevedendo che l’esenzione venga meno in caso di dolo o colpa grave dell’attestatore o del debitore ma solo quando il creditore (o il terzo acquirente o partecipe all’atto) “ne (fosse) a conoscenza al momento del compimento dell’atto, del pagamento o della costituzione di garanzia”.</w:t>
      </w:r>
    </w:p>
    <w:p w:rsidR="00977B2A" w:rsidRPr="00E3315C" w:rsidRDefault="00977B2A" w:rsidP="00C17D16">
      <w:pPr>
        <w:spacing w:line="520" w:lineRule="atLeast"/>
        <w:jc w:val="both"/>
        <w:rPr>
          <w:rFonts w:ascii="Times New Roman" w:hAnsi="Times New Roman" w:cs="Times New Roman"/>
          <w:sz w:val="28"/>
          <w:szCs w:val="28"/>
        </w:rPr>
      </w:pPr>
      <w:r w:rsidRPr="00E3315C">
        <w:rPr>
          <w:rFonts w:ascii="Times New Roman" w:hAnsi="Times New Roman" w:cs="Times New Roman"/>
          <w:sz w:val="28"/>
          <w:szCs w:val="28"/>
        </w:rPr>
        <w:t xml:space="preserve">E’ vero che l’innovazione non incide direttamente sulla possibile necessità per il giudice di valutare, come nelle parole della Cassazione, la “manifesta attitudine” del piano di risanamento. Tuttavia, l’intento del legislatore appare quello di limitare  il venir meno dell’efficacia protettiva del piano al solo caso in cui l’inadeguatezza del piano siano frutto del dolo o della colpa grave del debitore (o dei suoi professionisti) o dell’attestatore. </w:t>
      </w:r>
    </w:p>
    <w:p w:rsidR="00977B2A" w:rsidRPr="00E3315C" w:rsidRDefault="00977B2A" w:rsidP="00C17D16">
      <w:pPr>
        <w:spacing w:line="520" w:lineRule="atLeast"/>
        <w:jc w:val="both"/>
        <w:rPr>
          <w:rFonts w:ascii="Times New Roman" w:hAnsi="Times New Roman" w:cs="Times New Roman"/>
          <w:sz w:val="28"/>
          <w:szCs w:val="28"/>
        </w:rPr>
      </w:pPr>
      <w:r w:rsidRPr="00E3315C">
        <w:rPr>
          <w:rFonts w:ascii="Times New Roman" w:hAnsi="Times New Roman" w:cs="Times New Roman"/>
          <w:sz w:val="28"/>
          <w:szCs w:val="28"/>
        </w:rPr>
        <w:t xml:space="preserve">Del tutto innovativa, e sicuramente in grado di restringere di molto le ipotesi di non funzionamento dell’esenzione, è l’accento posto sullo stato soggettivo del terzo. </w:t>
      </w:r>
    </w:p>
    <w:p w:rsidR="00977B2A" w:rsidRPr="00E3315C" w:rsidRDefault="00977B2A" w:rsidP="00C17D16">
      <w:pPr>
        <w:spacing w:line="520" w:lineRule="atLeast"/>
        <w:jc w:val="both"/>
        <w:rPr>
          <w:rFonts w:ascii="Times New Roman" w:hAnsi="Times New Roman" w:cs="Times New Roman"/>
          <w:sz w:val="28"/>
          <w:szCs w:val="28"/>
        </w:rPr>
      </w:pPr>
      <w:r w:rsidRPr="00E3315C">
        <w:rPr>
          <w:rFonts w:ascii="Times New Roman" w:hAnsi="Times New Roman" w:cs="Times New Roman"/>
          <w:sz w:val="28"/>
          <w:szCs w:val="28"/>
        </w:rPr>
        <w:t xml:space="preserve">Da questo punto di vista il piano attestato potrebbe recuperare </w:t>
      </w:r>
      <w:r w:rsidR="00367CBC">
        <w:rPr>
          <w:rFonts w:ascii="Times New Roman" w:hAnsi="Times New Roman" w:cs="Times New Roman"/>
          <w:sz w:val="28"/>
          <w:szCs w:val="28"/>
        </w:rPr>
        <w:t xml:space="preserve">la </w:t>
      </w:r>
      <w:r w:rsidRPr="00E3315C">
        <w:rPr>
          <w:rFonts w:ascii="Times New Roman" w:hAnsi="Times New Roman" w:cs="Times New Roman"/>
          <w:sz w:val="28"/>
          <w:szCs w:val="28"/>
        </w:rPr>
        <w:t xml:space="preserve">fiducia </w:t>
      </w:r>
      <w:r w:rsidR="00367CBC">
        <w:rPr>
          <w:rFonts w:ascii="Times New Roman" w:hAnsi="Times New Roman" w:cs="Times New Roman"/>
          <w:sz w:val="28"/>
          <w:szCs w:val="28"/>
        </w:rPr>
        <w:t xml:space="preserve">degli </w:t>
      </w:r>
      <w:r w:rsidRPr="00E3315C">
        <w:rPr>
          <w:rFonts w:ascii="Times New Roman" w:hAnsi="Times New Roman" w:cs="Times New Roman"/>
          <w:sz w:val="28"/>
          <w:szCs w:val="28"/>
        </w:rPr>
        <w:t>operatori.</w:t>
      </w:r>
    </w:p>
    <w:p w:rsidR="00977B2A" w:rsidRPr="00E3315C" w:rsidRDefault="00977B2A" w:rsidP="00C17D16">
      <w:pPr>
        <w:spacing w:line="520" w:lineRule="atLeast"/>
        <w:jc w:val="both"/>
        <w:rPr>
          <w:rFonts w:ascii="Times New Roman" w:hAnsi="Times New Roman" w:cs="Times New Roman"/>
          <w:sz w:val="28"/>
          <w:szCs w:val="28"/>
        </w:rPr>
      </w:pPr>
      <w:r w:rsidRPr="00E3315C">
        <w:rPr>
          <w:rFonts w:ascii="Times New Roman" w:hAnsi="Times New Roman" w:cs="Times New Roman"/>
          <w:sz w:val="28"/>
          <w:szCs w:val="28"/>
        </w:rPr>
        <w:t>Si anticipa che l’esenzione da revocatoria riguarda anche gli accordi di ristrutturazione per gli atti posti in esecuzione degli stessi e gli atti, i pagamenti e le garanzie posti in essere dopo il deposito della domanda di accesso all’accordo di ristrutturazione.</w:t>
      </w:r>
    </w:p>
    <w:p w:rsidR="007257B5" w:rsidRPr="00E3315C" w:rsidRDefault="004B5305" w:rsidP="00C17D16">
      <w:pPr>
        <w:spacing w:line="520" w:lineRule="atLeast"/>
        <w:jc w:val="both"/>
        <w:rPr>
          <w:rFonts w:ascii="Times New Roman" w:hAnsi="Times New Roman" w:cs="Times New Roman"/>
          <w:sz w:val="28"/>
          <w:szCs w:val="28"/>
        </w:rPr>
      </w:pPr>
      <w:r>
        <w:rPr>
          <w:rFonts w:ascii="Times New Roman" w:hAnsi="Times New Roman" w:cs="Times New Roman"/>
          <w:sz w:val="28"/>
          <w:szCs w:val="28"/>
        </w:rPr>
        <w:t>Nella normativa sul piano attestato c</w:t>
      </w:r>
      <w:r w:rsidR="007257B5" w:rsidRPr="00E3315C">
        <w:rPr>
          <w:rFonts w:ascii="Times New Roman" w:hAnsi="Times New Roman" w:cs="Times New Roman"/>
          <w:sz w:val="28"/>
          <w:szCs w:val="28"/>
        </w:rPr>
        <w:t xml:space="preserve">’è l’aggiunta del requisito della data certa, già previsto dalla pratica, essenziale al fine dell’esenzione da revocatoria. </w:t>
      </w:r>
    </w:p>
    <w:p w:rsidR="00FF4CF8" w:rsidRPr="00E3315C" w:rsidRDefault="00FF4CF8" w:rsidP="00C17D16">
      <w:pPr>
        <w:spacing w:line="520" w:lineRule="atLeast"/>
        <w:jc w:val="both"/>
        <w:rPr>
          <w:rFonts w:ascii="Times New Roman" w:hAnsi="Times New Roman" w:cs="Times New Roman"/>
          <w:sz w:val="28"/>
          <w:szCs w:val="28"/>
        </w:rPr>
      </w:pPr>
      <w:r w:rsidRPr="00E3315C">
        <w:rPr>
          <w:rFonts w:ascii="Times New Roman" w:hAnsi="Times New Roman" w:cs="Times New Roman"/>
          <w:sz w:val="28"/>
          <w:szCs w:val="28"/>
        </w:rPr>
        <w:t xml:space="preserve">La norma dice che il piano deve essere rivolto “ai creditori”, il che fa presupporre che parrebbe destinato a dare attuazione ad un accordo con i soli creditori e non con i soggetti terzi (società interessate a concordare operazioni straordinarie ecc.). </w:t>
      </w:r>
    </w:p>
    <w:p w:rsidR="00FF4CF8" w:rsidRPr="00E3315C" w:rsidRDefault="00FF4CF8" w:rsidP="00C17D16">
      <w:pPr>
        <w:spacing w:line="520" w:lineRule="atLeast"/>
        <w:jc w:val="both"/>
        <w:rPr>
          <w:rFonts w:ascii="Times New Roman" w:hAnsi="Times New Roman" w:cs="Times New Roman"/>
          <w:sz w:val="28"/>
          <w:szCs w:val="28"/>
        </w:rPr>
      </w:pPr>
      <w:r w:rsidRPr="00E3315C">
        <w:rPr>
          <w:rFonts w:ascii="Times New Roman" w:hAnsi="Times New Roman" w:cs="Times New Roman"/>
          <w:sz w:val="28"/>
          <w:szCs w:val="28"/>
        </w:rPr>
        <w:t xml:space="preserve">E’ stata criticata la mancata previsione della </w:t>
      </w:r>
      <w:proofErr w:type="spellStart"/>
      <w:r w:rsidRPr="00E3315C">
        <w:rPr>
          <w:rFonts w:ascii="Times New Roman" w:hAnsi="Times New Roman" w:cs="Times New Roman"/>
          <w:sz w:val="28"/>
          <w:szCs w:val="28"/>
        </w:rPr>
        <w:t>prededucibilità</w:t>
      </w:r>
      <w:proofErr w:type="spellEnd"/>
      <w:r w:rsidRPr="00E3315C">
        <w:rPr>
          <w:rFonts w:ascii="Times New Roman" w:hAnsi="Times New Roman" w:cs="Times New Roman"/>
          <w:sz w:val="28"/>
          <w:szCs w:val="28"/>
        </w:rPr>
        <w:t xml:space="preserve"> dei crediti sorti per l’esecuzione del piano, ma non ancora pagati al momento dell’apertura del concorso con altri creditori.</w:t>
      </w:r>
    </w:p>
    <w:p w:rsidR="00FF4CF8" w:rsidRPr="00E3315C" w:rsidRDefault="00EA27CA" w:rsidP="00C17D16">
      <w:pPr>
        <w:spacing w:line="520" w:lineRule="atLeast"/>
        <w:jc w:val="both"/>
        <w:rPr>
          <w:rFonts w:ascii="Times New Roman" w:hAnsi="Times New Roman" w:cs="Times New Roman"/>
          <w:b/>
          <w:sz w:val="28"/>
          <w:szCs w:val="28"/>
        </w:rPr>
      </w:pPr>
      <w:r>
        <w:rPr>
          <w:rFonts w:ascii="Times New Roman" w:hAnsi="Times New Roman" w:cs="Times New Roman"/>
          <w:b/>
          <w:sz w:val="28"/>
          <w:szCs w:val="28"/>
        </w:rPr>
        <w:t xml:space="preserve">-GLI </w:t>
      </w:r>
      <w:r w:rsidR="007C78BF" w:rsidRPr="00E3315C">
        <w:rPr>
          <w:rFonts w:ascii="Times New Roman" w:hAnsi="Times New Roman" w:cs="Times New Roman"/>
          <w:b/>
          <w:sz w:val="28"/>
          <w:szCs w:val="28"/>
        </w:rPr>
        <w:t>ACCORDI  DI RISTRUTTURAZIONE</w:t>
      </w:r>
      <w:r w:rsidR="00BB0FBE">
        <w:rPr>
          <w:rFonts w:ascii="Times New Roman" w:hAnsi="Times New Roman" w:cs="Times New Roman"/>
          <w:b/>
          <w:sz w:val="28"/>
          <w:szCs w:val="28"/>
        </w:rPr>
        <w:t xml:space="preserve"> </w:t>
      </w:r>
      <w:r w:rsidR="00F73E3E">
        <w:rPr>
          <w:rFonts w:ascii="Times New Roman" w:hAnsi="Times New Roman" w:cs="Times New Roman"/>
          <w:b/>
          <w:sz w:val="28"/>
          <w:szCs w:val="28"/>
        </w:rPr>
        <w:t>art. 57 e seg.</w:t>
      </w:r>
    </w:p>
    <w:p w:rsidR="00A10A65" w:rsidRPr="00E3315C" w:rsidRDefault="006C6E69" w:rsidP="00C17D16">
      <w:pPr>
        <w:spacing w:line="520" w:lineRule="atLeast"/>
        <w:jc w:val="both"/>
        <w:rPr>
          <w:rFonts w:ascii="Times New Roman" w:hAnsi="Times New Roman" w:cs="Times New Roman"/>
          <w:sz w:val="28"/>
          <w:szCs w:val="28"/>
        </w:rPr>
      </w:pPr>
      <w:r>
        <w:rPr>
          <w:rFonts w:ascii="Times New Roman" w:hAnsi="Times New Roman" w:cs="Times New Roman"/>
          <w:sz w:val="28"/>
          <w:szCs w:val="28"/>
        </w:rPr>
        <w:t xml:space="preserve">L’ambito di applicazione degli accordi è stato ampliato dal CCI </w:t>
      </w:r>
      <w:r w:rsidR="007C78BF" w:rsidRPr="00E3315C">
        <w:rPr>
          <w:rFonts w:ascii="Times New Roman" w:hAnsi="Times New Roman" w:cs="Times New Roman"/>
          <w:sz w:val="28"/>
          <w:szCs w:val="28"/>
        </w:rPr>
        <w:t xml:space="preserve"> rispetto alla disciplina che li ha introdotti nel 2005. </w:t>
      </w:r>
      <w:r w:rsidR="00630584" w:rsidRPr="00E3315C">
        <w:rPr>
          <w:rFonts w:ascii="Times New Roman" w:hAnsi="Times New Roman" w:cs="Times New Roman"/>
          <w:sz w:val="28"/>
          <w:szCs w:val="28"/>
        </w:rPr>
        <w:t xml:space="preserve"> L’accordo di ristrutturazione è ora inserito in una strada procedimentale unitaria </w:t>
      </w:r>
      <w:r>
        <w:rPr>
          <w:rFonts w:ascii="Times New Roman" w:hAnsi="Times New Roman" w:cs="Times New Roman"/>
          <w:sz w:val="28"/>
          <w:szCs w:val="28"/>
        </w:rPr>
        <w:t xml:space="preserve">con il concordato </w:t>
      </w:r>
      <w:r w:rsidR="008221BB" w:rsidRPr="00E3315C">
        <w:rPr>
          <w:rFonts w:ascii="Times New Roman" w:hAnsi="Times New Roman" w:cs="Times New Roman"/>
          <w:sz w:val="28"/>
          <w:szCs w:val="28"/>
        </w:rPr>
        <w:t>che peraltro poi si divarica</w:t>
      </w:r>
      <w:r w:rsidR="006874CE" w:rsidRPr="00E3315C">
        <w:rPr>
          <w:rFonts w:ascii="Times New Roman" w:hAnsi="Times New Roman" w:cs="Times New Roman"/>
          <w:sz w:val="28"/>
          <w:szCs w:val="28"/>
        </w:rPr>
        <w:t xml:space="preserve"> nella regolamentazione</w:t>
      </w:r>
      <w:r>
        <w:rPr>
          <w:rFonts w:ascii="Times New Roman" w:hAnsi="Times New Roman" w:cs="Times New Roman"/>
          <w:sz w:val="28"/>
          <w:szCs w:val="28"/>
        </w:rPr>
        <w:t xml:space="preserve"> </w:t>
      </w:r>
      <w:r w:rsidR="006874CE" w:rsidRPr="00E3315C">
        <w:rPr>
          <w:rFonts w:ascii="Times New Roman" w:hAnsi="Times New Roman" w:cs="Times New Roman"/>
          <w:sz w:val="28"/>
          <w:szCs w:val="28"/>
        </w:rPr>
        <w:t>(44 e seg.)</w:t>
      </w:r>
      <w:r w:rsidR="008221BB" w:rsidRPr="00E3315C">
        <w:rPr>
          <w:rFonts w:ascii="Times New Roman" w:hAnsi="Times New Roman" w:cs="Times New Roman"/>
          <w:sz w:val="28"/>
          <w:szCs w:val="28"/>
        </w:rPr>
        <w:t>.</w:t>
      </w:r>
      <w:r w:rsidR="00E603CB" w:rsidRPr="00E3315C">
        <w:rPr>
          <w:rFonts w:ascii="Times New Roman" w:hAnsi="Times New Roman" w:cs="Times New Roman"/>
          <w:sz w:val="28"/>
          <w:szCs w:val="28"/>
        </w:rPr>
        <w:t xml:space="preserve"> Viene confermata la strada comu</w:t>
      </w:r>
      <w:r w:rsidR="006874CE" w:rsidRPr="00E3315C">
        <w:rPr>
          <w:rFonts w:ascii="Times New Roman" w:hAnsi="Times New Roman" w:cs="Times New Roman"/>
          <w:sz w:val="28"/>
          <w:szCs w:val="28"/>
        </w:rPr>
        <w:t xml:space="preserve">ne del procedimento </w:t>
      </w:r>
      <w:proofErr w:type="spellStart"/>
      <w:r w:rsidR="006874CE" w:rsidRPr="00E3315C">
        <w:rPr>
          <w:rFonts w:ascii="Times New Roman" w:hAnsi="Times New Roman" w:cs="Times New Roman"/>
          <w:sz w:val="28"/>
          <w:szCs w:val="28"/>
        </w:rPr>
        <w:t>prenotativo</w:t>
      </w:r>
      <w:proofErr w:type="spellEnd"/>
      <w:r w:rsidR="006874CE" w:rsidRPr="00E3315C">
        <w:rPr>
          <w:rFonts w:ascii="Times New Roman" w:hAnsi="Times New Roman" w:cs="Times New Roman"/>
          <w:sz w:val="28"/>
          <w:szCs w:val="28"/>
        </w:rPr>
        <w:t>,</w:t>
      </w:r>
      <w:r w:rsidR="00A144B5" w:rsidRPr="00E3315C">
        <w:rPr>
          <w:rFonts w:ascii="Times New Roman" w:hAnsi="Times New Roman" w:cs="Times New Roman"/>
          <w:sz w:val="28"/>
          <w:szCs w:val="28"/>
        </w:rPr>
        <w:t xml:space="preserve"> per quanto riguarda gli accordi di ristrutturazione la nomina del Commissario</w:t>
      </w:r>
      <w:r w:rsidR="00561728">
        <w:rPr>
          <w:rFonts w:ascii="Times New Roman" w:hAnsi="Times New Roman" w:cs="Times New Roman"/>
          <w:sz w:val="28"/>
          <w:szCs w:val="28"/>
        </w:rPr>
        <w:t>, come si diceva,</w:t>
      </w:r>
      <w:r w:rsidR="00A144B5" w:rsidRPr="00E3315C">
        <w:rPr>
          <w:rFonts w:ascii="Times New Roman" w:hAnsi="Times New Roman" w:cs="Times New Roman"/>
          <w:sz w:val="28"/>
          <w:szCs w:val="28"/>
        </w:rPr>
        <w:t xml:space="preserve"> è prevista per il solo caso </w:t>
      </w:r>
      <w:r w:rsidR="00A10A65" w:rsidRPr="00E3315C">
        <w:rPr>
          <w:rFonts w:ascii="Times New Roman" w:hAnsi="Times New Roman" w:cs="Times New Roman"/>
          <w:sz w:val="28"/>
          <w:szCs w:val="28"/>
        </w:rPr>
        <w:t>in cui siano state presentate istanze per la apertura della liquidazione giudiziale.</w:t>
      </w:r>
    </w:p>
    <w:p w:rsidR="007C78BF" w:rsidRPr="00E3315C" w:rsidRDefault="00A10A65" w:rsidP="00C17D16">
      <w:pPr>
        <w:spacing w:line="520" w:lineRule="atLeast"/>
        <w:jc w:val="both"/>
        <w:rPr>
          <w:rFonts w:ascii="Times New Roman" w:hAnsi="Times New Roman" w:cs="Times New Roman"/>
          <w:sz w:val="28"/>
          <w:szCs w:val="28"/>
        </w:rPr>
      </w:pPr>
      <w:r w:rsidRPr="00E3315C">
        <w:rPr>
          <w:rFonts w:ascii="Times New Roman" w:hAnsi="Times New Roman" w:cs="Times New Roman"/>
          <w:sz w:val="28"/>
          <w:szCs w:val="28"/>
        </w:rPr>
        <w:t>Sono poi previste misure cautelari e protettiva previste anche per il concordato preventivo all’art. 54.</w:t>
      </w:r>
      <w:r w:rsidR="006874CE" w:rsidRPr="00E3315C">
        <w:rPr>
          <w:rFonts w:ascii="Times New Roman" w:hAnsi="Times New Roman" w:cs="Times New Roman"/>
          <w:sz w:val="28"/>
          <w:szCs w:val="28"/>
        </w:rPr>
        <w:t xml:space="preserve"> </w:t>
      </w:r>
    </w:p>
    <w:p w:rsidR="00DA7833" w:rsidRPr="00E3315C" w:rsidRDefault="00DA7833" w:rsidP="00C17D16">
      <w:pPr>
        <w:spacing w:line="520" w:lineRule="atLeast"/>
        <w:jc w:val="both"/>
        <w:rPr>
          <w:rFonts w:ascii="Times New Roman" w:hAnsi="Times New Roman" w:cs="Times New Roman"/>
          <w:sz w:val="28"/>
          <w:szCs w:val="28"/>
        </w:rPr>
      </w:pPr>
      <w:r w:rsidRPr="00E3315C">
        <w:rPr>
          <w:rFonts w:ascii="Times New Roman" w:hAnsi="Times New Roman" w:cs="Times New Roman"/>
          <w:sz w:val="28"/>
          <w:szCs w:val="28"/>
        </w:rPr>
        <w:t xml:space="preserve">All’entrata in vigore della norma la dottrina si è divaricata tra </w:t>
      </w:r>
      <w:r w:rsidR="006C6E69">
        <w:rPr>
          <w:rFonts w:ascii="Times New Roman" w:hAnsi="Times New Roman" w:cs="Times New Roman"/>
          <w:sz w:val="28"/>
          <w:szCs w:val="28"/>
        </w:rPr>
        <w:t>chi</w:t>
      </w:r>
      <w:r w:rsidRPr="00E3315C">
        <w:rPr>
          <w:rFonts w:ascii="Times New Roman" w:hAnsi="Times New Roman" w:cs="Times New Roman"/>
          <w:sz w:val="28"/>
          <w:szCs w:val="28"/>
        </w:rPr>
        <w:t xml:space="preserve"> riteneva l’istituto </w:t>
      </w:r>
      <w:r w:rsidR="00DE2369" w:rsidRPr="00E3315C">
        <w:rPr>
          <w:rFonts w:ascii="Times New Roman" w:hAnsi="Times New Roman" w:cs="Times New Roman"/>
          <w:sz w:val="28"/>
          <w:szCs w:val="28"/>
        </w:rPr>
        <w:t>facente parte oppure no del novero delle procedure concorsuali.</w:t>
      </w:r>
    </w:p>
    <w:p w:rsidR="008221BB" w:rsidRPr="00E3315C" w:rsidRDefault="00DA7833" w:rsidP="00C17D16">
      <w:pPr>
        <w:spacing w:line="520" w:lineRule="atLeast"/>
        <w:jc w:val="both"/>
        <w:rPr>
          <w:rFonts w:ascii="Times New Roman" w:hAnsi="Times New Roman" w:cs="Times New Roman"/>
          <w:color w:val="000000"/>
          <w:sz w:val="28"/>
          <w:szCs w:val="28"/>
        </w:rPr>
      </w:pPr>
      <w:r w:rsidRPr="00E3315C">
        <w:rPr>
          <w:rFonts w:ascii="Times New Roman" w:hAnsi="Times New Roman" w:cs="Times New Roman"/>
          <w:sz w:val="28"/>
          <w:szCs w:val="28"/>
        </w:rPr>
        <w:t xml:space="preserve">La giurisprudenza (Cassazione n. 1182/2018 fonte </w:t>
      </w:r>
      <w:proofErr w:type="spellStart"/>
      <w:r w:rsidRPr="00E3315C">
        <w:rPr>
          <w:rFonts w:ascii="Times New Roman" w:hAnsi="Times New Roman" w:cs="Times New Roman"/>
          <w:sz w:val="28"/>
          <w:szCs w:val="28"/>
        </w:rPr>
        <w:t>Italgiureweb</w:t>
      </w:r>
      <w:proofErr w:type="spellEnd"/>
      <w:r w:rsidRPr="00E3315C">
        <w:rPr>
          <w:rFonts w:ascii="Times New Roman" w:hAnsi="Times New Roman" w:cs="Times New Roman"/>
          <w:sz w:val="28"/>
          <w:szCs w:val="28"/>
        </w:rPr>
        <w:t xml:space="preserve">) </w:t>
      </w:r>
      <w:r w:rsidR="00DE2369" w:rsidRPr="00E3315C">
        <w:rPr>
          <w:rFonts w:ascii="Times New Roman" w:hAnsi="Times New Roman" w:cs="Times New Roman"/>
          <w:sz w:val="28"/>
          <w:szCs w:val="28"/>
        </w:rPr>
        <w:t>ha</w:t>
      </w:r>
      <w:r w:rsidRPr="00E3315C">
        <w:rPr>
          <w:rFonts w:ascii="Times New Roman" w:hAnsi="Times New Roman" w:cs="Times New Roman"/>
          <w:sz w:val="28"/>
          <w:szCs w:val="28"/>
        </w:rPr>
        <w:t xml:space="preserve"> sancito il principio secondo cui </w:t>
      </w:r>
      <w:r w:rsidRPr="00E3315C">
        <w:rPr>
          <w:rFonts w:ascii="Times New Roman" w:hAnsi="Times New Roman" w:cs="Times New Roman"/>
          <w:color w:val="000000"/>
          <w:sz w:val="28"/>
          <w:szCs w:val="28"/>
        </w:rPr>
        <w:t xml:space="preserve">l’istituto dell’accordo di ristrutturazione dei debiti di cui all’art. 182-bis </w:t>
      </w:r>
      <w:proofErr w:type="spellStart"/>
      <w:r w:rsidRPr="00E3315C">
        <w:rPr>
          <w:rFonts w:ascii="Times New Roman" w:hAnsi="Times New Roman" w:cs="Times New Roman"/>
          <w:color w:val="000000"/>
          <w:sz w:val="28"/>
          <w:szCs w:val="28"/>
        </w:rPr>
        <w:t>l.fall</w:t>
      </w:r>
      <w:proofErr w:type="spellEnd"/>
      <w:r w:rsidRPr="00E3315C">
        <w:rPr>
          <w:rFonts w:ascii="Times New Roman" w:hAnsi="Times New Roman" w:cs="Times New Roman"/>
          <w:color w:val="000000"/>
          <w:sz w:val="28"/>
          <w:szCs w:val="28"/>
        </w:rPr>
        <w:t>., ancorché  basato sugli accordi contrattuali senza alcun spossessamento e privo di alcuna regolamentazione relativa alla risoluzione o all’annullamento dell’accordo,  appartiene agli istituti del diritto concorsuale, come è dato desumere dalla sua disciplina che presuppone, da un lato, forme di controllo e di pubblicità sulla composizione negoziata  e, dall’altro, effetti protettivi</w:t>
      </w:r>
      <w:r w:rsidR="00DE2369" w:rsidRPr="00E3315C">
        <w:rPr>
          <w:rFonts w:ascii="Times New Roman" w:hAnsi="Times New Roman" w:cs="Times New Roman"/>
          <w:color w:val="000000"/>
          <w:sz w:val="28"/>
          <w:szCs w:val="28"/>
        </w:rPr>
        <w:t>.</w:t>
      </w:r>
    </w:p>
    <w:p w:rsidR="00DE2369" w:rsidRPr="00E3315C" w:rsidRDefault="00DE2369" w:rsidP="00C17D16">
      <w:pPr>
        <w:spacing w:line="520" w:lineRule="atLeast"/>
        <w:jc w:val="both"/>
        <w:rPr>
          <w:rFonts w:ascii="Times New Roman" w:hAnsi="Times New Roman" w:cs="Times New Roman"/>
          <w:color w:val="000000"/>
          <w:sz w:val="28"/>
          <w:szCs w:val="28"/>
        </w:rPr>
      </w:pPr>
      <w:r w:rsidRPr="00E3315C">
        <w:rPr>
          <w:rFonts w:ascii="Times New Roman" w:hAnsi="Times New Roman" w:cs="Times New Roman"/>
          <w:color w:val="000000"/>
          <w:sz w:val="28"/>
          <w:szCs w:val="28"/>
        </w:rPr>
        <w:t xml:space="preserve">La questione rileva in merito alla fallibilità dell’impresa </w:t>
      </w:r>
      <w:r w:rsidR="00EA27CA">
        <w:rPr>
          <w:rFonts w:ascii="Times New Roman" w:hAnsi="Times New Roman" w:cs="Times New Roman"/>
          <w:color w:val="000000"/>
          <w:sz w:val="28"/>
          <w:szCs w:val="28"/>
        </w:rPr>
        <w:t xml:space="preserve">che ha ottenuto un </w:t>
      </w:r>
      <w:r w:rsidRPr="00E3315C">
        <w:rPr>
          <w:rFonts w:ascii="Times New Roman" w:hAnsi="Times New Roman" w:cs="Times New Roman"/>
          <w:color w:val="000000"/>
          <w:sz w:val="28"/>
          <w:szCs w:val="28"/>
        </w:rPr>
        <w:t xml:space="preserve"> accordo omologato, perché. qualora </w:t>
      </w:r>
      <w:r w:rsidR="003630FB" w:rsidRPr="00E3315C">
        <w:rPr>
          <w:rFonts w:ascii="Times New Roman" w:hAnsi="Times New Roman" w:cs="Times New Roman"/>
          <w:color w:val="000000"/>
          <w:sz w:val="28"/>
          <w:szCs w:val="28"/>
        </w:rPr>
        <w:t>si ritenesse</w:t>
      </w:r>
      <w:r w:rsidRPr="00E3315C">
        <w:rPr>
          <w:rFonts w:ascii="Times New Roman" w:hAnsi="Times New Roman" w:cs="Times New Roman"/>
          <w:color w:val="000000"/>
          <w:sz w:val="28"/>
          <w:szCs w:val="28"/>
        </w:rPr>
        <w:t xml:space="preserve"> l’istituto </w:t>
      </w:r>
      <w:r w:rsidR="003630FB" w:rsidRPr="00E3315C">
        <w:rPr>
          <w:rFonts w:ascii="Times New Roman" w:hAnsi="Times New Roman" w:cs="Times New Roman"/>
          <w:color w:val="000000"/>
          <w:sz w:val="28"/>
          <w:szCs w:val="28"/>
        </w:rPr>
        <w:t>di carattere concorsuale</w:t>
      </w:r>
      <w:r w:rsidRPr="00E3315C">
        <w:rPr>
          <w:rFonts w:ascii="Times New Roman" w:hAnsi="Times New Roman" w:cs="Times New Roman"/>
          <w:color w:val="000000"/>
          <w:sz w:val="28"/>
          <w:szCs w:val="28"/>
        </w:rPr>
        <w:t xml:space="preserve">, potrebbe </w:t>
      </w:r>
      <w:r w:rsidRPr="00E3315C">
        <w:rPr>
          <w:rFonts w:ascii="Times New Roman" w:hAnsi="Times New Roman" w:cs="Times New Roman"/>
          <w:color w:val="000000"/>
          <w:sz w:val="28"/>
          <w:szCs w:val="28"/>
        </w:rPr>
        <w:lastRenderedPageBreak/>
        <w:t xml:space="preserve">applicarsi la medesima </w:t>
      </w:r>
      <w:r w:rsidR="00EA27CA">
        <w:rPr>
          <w:rFonts w:ascii="Times New Roman" w:hAnsi="Times New Roman" w:cs="Times New Roman"/>
          <w:color w:val="000000"/>
          <w:sz w:val="28"/>
          <w:szCs w:val="28"/>
        </w:rPr>
        <w:t xml:space="preserve">giurisprudenza che si è espressa (con soluzioni differenti) </w:t>
      </w:r>
      <w:r w:rsidRPr="00E3315C">
        <w:rPr>
          <w:rFonts w:ascii="Times New Roman" w:hAnsi="Times New Roman" w:cs="Times New Roman"/>
          <w:color w:val="000000"/>
          <w:sz w:val="28"/>
          <w:szCs w:val="28"/>
        </w:rPr>
        <w:t xml:space="preserve"> per il fallimento della società in concordato </w:t>
      </w:r>
      <w:r w:rsidR="00EA27CA">
        <w:rPr>
          <w:rFonts w:ascii="Times New Roman" w:hAnsi="Times New Roman" w:cs="Times New Roman"/>
          <w:color w:val="000000"/>
          <w:sz w:val="28"/>
          <w:szCs w:val="28"/>
        </w:rPr>
        <w:t>inadempiente nel caso in cui</w:t>
      </w:r>
      <w:r w:rsidRPr="00E3315C">
        <w:rPr>
          <w:rFonts w:ascii="Times New Roman" w:hAnsi="Times New Roman" w:cs="Times New Roman"/>
          <w:color w:val="000000"/>
          <w:sz w:val="28"/>
          <w:szCs w:val="28"/>
        </w:rPr>
        <w:t xml:space="preserve"> il concordato non </w:t>
      </w:r>
      <w:r w:rsidR="00EA27CA">
        <w:rPr>
          <w:rFonts w:ascii="Times New Roman" w:hAnsi="Times New Roman" w:cs="Times New Roman"/>
          <w:color w:val="000000"/>
          <w:sz w:val="28"/>
          <w:szCs w:val="28"/>
        </w:rPr>
        <w:t>sia</w:t>
      </w:r>
      <w:r w:rsidRPr="00E3315C">
        <w:rPr>
          <w:rFonts w:ascii="Times New Roman" w:hAnsi="Times New Roman" w:cs="Times New Roman"/>
          <w:color w:val="000000"/>
          <w:sz w:val="28"/>
          <w:szCs w:val="28"/>
        </w:rPr>
        <w:t xml:space="preserve"> stato risolto.</w:t>
      </w:r>
    </w:p>
    <w:p w:rsidR="00EC1E2F" w:rsidRPr="00E3315C" w:rsidRDefault="00DE2369" w:rsidP="00C17D16">
      <w:pPr>
        <w:spacing w:line="520" w:lineRule="atLeast"/>
        <w:jc w:val="both"/>
        <w:rPr>
          <w:rFonts w:ascii="Times New Roman" w:hAnsi="Times New Roman" w:cs="Times New Roman"/>
          <w:sz w:val="28"/>
          <w:szCs w:val="28"/>
        </w:rPr>
      </w:pPr>
      <w:r w:rsidRPr="00E3315C">
        <w:rPr>
          <w:rFonts w:ascii="Times New Roman" w:hAnsi="Times New Roman" w:cs="Times New Roman"/>
          <w:color w:val="000000"/>
          <w:sz w:val="28"/>
          <w:szCs w:val="28"/>
        </w:rPr>
        <w:t xml:space="preserve">Il problema si pone però solo per l’omesso pagamento dei crediti </w:t>
      </w:r>
      <w:r w:rsidR="00EC1E2F" w:rsidRPr="00E3315C">
        <w:rPr>
          <w:rFonts w:ascii="Times New Roman" w:hAnsi="Times New Roman" w:cs="Times New Roman"/>
          <w:color w:val="000000"/>
          <w:sz w:val="28"/>
          <w:szCs w:val="28"/>
        </w:rPr>
        <w:t xml:space="preserve"> oggetto di accordo, perché per quanto riguarda </w:t>
      </w:r>
      <w:r w:rsidR="00EA27CA">
        <w:rPr>
          <w:rFonts w:ascii="Times New Roman" w:hAnsi="Times New Roman" w:cs="Times New Roman"/>
          <w:color w:val="000000"/>
          <w:sz w:val="28"/>
          <w:szCs w:val="28"/>
        </w:rPr>
        <w:t xml:space="preserve">l’omesso pagamento dei creditori </w:t>
      </w:r>
      <w:r w:rsidR="00EC1E2F" w:rsidRPr="00E3315C">
        <w:rPr>
          <w:rFonts w:ascii="Times New Roman" w:hAnsi="Times New Roman" w:cs="Times New Roman"/>
          <w:color w:val="000000"/>
          <w:sz w:val="28"/>
          <w:szCs w:val="28"/>
        </w:rPr>
        <w:t xml:space="preserve"> estranei il principio </w:t>
      </w:r>
      <w:r w:rsidR="00EA27CA">
        <w:rPr>
          <w:rFonts w:ascii="Times New Roman" w:hAnsi="Times New Roman" w:cs="Times New Roman"/>
          <w:color w:val="000000"/>
          <w:sz w:val="28"/>
          <w:szCs w:val="28"/>
        </w:rPr>
        <w:t>espresso dalla Cassazione (</w:t>
      </w:r>
      <w:r w:rsidR="00310780" w:rsidRPr="00310780">
        <w:rPr>
          <w:rFonts w:ascii="Times New Roman" w:hAnsi="Times New Roman" w:cs="Times New Roman"/>
          <w:color w:val="000000"/>
          <w:sz w:val="28"/>
          <w:szCs w:val="28"/>
        </w:rPr>
        <w:t>sentenza n. 13850/2019</w:t>
      </w:r>
      <w:r w:rsidR="00EA27CA" w:rsidRPr="00EA27CA">
        <w:rPr>
          <w:rFonts w:ascii="Times New Roman" w:hAnsi="Times New Roman" w:cs="Times New Roman"/>
          <w:b/>
          <w:color w:val="000000"/>
          <w:sz w:val="28"/>
          <w:szCs w:val="28"/>
        </w:rPr>
        <w:t>)</w:t>
      </w:r>
      <w:r w:rsidR="00EA27CA">
        <w:rPr>
          <w:rFonts w:ascii="Times New Roman" w:hAnsi="Times New Roman" w:cs="Times New Roman"/>
          <w:color w:val="000000"/>
          <w:sz w:val="28"/>
          <w:szCs w:val="28"/>
        </w:rPr>
        <w:t xml:space="preserve"> </w:t>
      </w:r>
      <w:r w:rsidR="00EC1E2F" w:rsidRPr="00E3315C">
        <w:rPr>
          <w:rFonts w:ascii="Times New Roman" w:hAnsi="Times New Roman" w:cs="Times New Roman"/>
          <w:color w:val="000000"/>
          <w:sz w:val="28"/>
          <w:szCs w:val="28"/>
        </w:rPr>
        <w:t>è questo:</w:t>
      </w:r>
      <w:r w:rsidR="00EA27CA">
        <w:rPr>
          <w:rFonts w:ascii="Times New Roman" w:hAnsi="Times New Roman" w:cs="Times New Roman"/>
          <w:color w:val="000000"/>
          <w:sz w:val="28"/>
          <w:szCs w:val="28"/>
        </w:rPr>
        <w:t xml:space="preserve"> “…</w:t>
      </w:r>
      <w:r w:rsidR="00EC1E2F" w:rsidRPr="00E3315C">
        <w:rPr>
          <w:rFonts w:ascii="Times New Roman" w:hAnsi="Times New Roman" w:cs="Times New Roman"/>
          <w:color w:val="333333"/>
          <w:sz w:val="28"/>
          <w:szCs w:val="28"/>
          <w:shd w:val="clear" w:color="auto" w:fill="FFFFFF"/>
        </w:rPr>
        <w:t xml:space="preserve">deve ritenersi che nulla osti alla procedibilità di una domanda di fallimento presentata, dopo l'omologazione di un accordo di ristrutturazione dei debiti, da un creditore che ad esso sia rimasto estraneo. Diversamente opinando, si finirebbe infatti per privare quest'ultimo - che a quell'accordo ha legittimamente scelto di non aderire - di una fondamentale forma di tutela del proprio credito, da coordinare con gli interessi degli altri creditori aderenti all'accordo, in funzione della garanzia patrimoniale del debitore ex art. 2740 c.c. e del correlato principio della par </w:t>
      </w:r>
      <w:proofErr w:type="spellStart"/>
      <w:r w:rsidR="00EC1E2F" w:rsidRPr="00E3315C">
        <w:rPr>
          <w:rFonts w:ascii="Times New Roman" w:hAnsi="Times New Roman" w:cs="Times New Roman"/>
          <w:color w:val="333333"/>
          <w:sz w:val="28"/>
          <w:szCs w:val="28"/>
          <w:shd w:val="clear" w:color="auto" w:fill="FFFFFF"/>
        </w:rPr>
        <w:t>conditio</w:t>
      </w:r>
      <w:proofErr w:type="spellEnd"/>
      <w:r w:rsidR="00EC1E2F" w:rsidRPr="00E3315C">
        <w:rPr>
          <w:rFonts w:ascii="Times New Roman" w:hAnsi="Times New Roman" w:cs="Times New Roman"/>
          <w:color w:val="333333"/>
          <w:sz w:val="28"/>
          <w:szCs w:val="28"/>
          <w:shd w:val="clear" w:color="auto" w:fill="FFFFFF"/>
        </w:rPr>
        <w:t xml:space="preserve"> </w:t>
      </w:r>
      <w:proofErr w:type="spellStart"/>
      <w:r w:rsidR="00EC1E2F" w:rsidRPr="00E3315C">
        <w:rPr>
          <w:rFonts w:ascii="Times New Roman" w:hAnsi="Times New Roman" w:cs="Times New Roman"/>
          <w:color w:val="333333"/>
          <w:sz w:val="28"/>
          <w:szCs w:val="28"/>
          <w:shd w:val="clear" w:color="auto" w:fill="FFFFFF"/>
        </w:rPr>
        <w:t>creditorum</w:t>
      </w:r>
      <w:proofErr w:type="spellEnd"/>
      <w:r w:rsidR="00EC1E2F" w:rsidRPr="00E3315C">
        <w:rPr>
          <w:rFonts w:ascii="Times New Roman" w:hAnsi="Times New Roman" w:cs="Times New Roman"/>
          <w:color w:val="333333"/>
          <w:sz w:val="28"/>
          <w:szCs w:val="28"/>
          <w:shd w:val="clear" w:color="auto" w:fill="FFFFFF"/>
        </w:rPr>
        <w:t xml:space="preserve"> di cui all'art. 2741 c.c.. Inoltre, si consentirebbe una compressione dei suoi diritti tanto più inammissibile in quanto l'istituto degli accordi L. Fall., ex art. 182 bis fa perno proprio sul presupposto della loro idoneità ad assicurare l'integrale pagamento dei creditori estranei (fatte salve la dilazione di cui al comma 1 della norma citata e la possibilità della deroga agli artt. 1372 e 1411 c.c. prevista dalla L. Fall., art. 182-septies, cui fanno eco i più ampi "Accordi di ristrutturazione ad efficacia estesa" introdotti dall'art. 61 CCI), i quali perciò si pongono, rispetto all'accordo, in posizione analoga ai creditori non vincolati dagli effetti obbligatori del concordato omologato L. Fall., ex art. 184 </w:t>
      </w:r>
      <w:proofErr w:type="spellStart"/>
      <w:r w:rsidR="00EC1E2F" w:rsidRPr="00E3315C">
        <w:rPr>
          <w:rFonts w:ascii="Times New Roman" w:hAnsi="Times New Roman" w:cs="Times New Roman"/>
          <w:color w:val="333333"/>
          <w:sz w:val="28"/>
          <w:szCs w:val="28"/>
          <w:shd w:val="clear" w:color="auto" w:fill="FFFFFF"/>
        </w:rPr>
        <w:t>l.f.</w:t>
      </w:r>
      <w:proofErr w:type="spellEnd"/>
      <w:r w:rsidR="00EC1E2F" w:rsidRPr="00E3315C">
        <w:rPr>
          <w:rFonts w:ascii="Times New Roman" w:hAnsi="Times New Roman" w:cs="Times New Roman"/>
          <w:color w:val="333333"/>
          <w:sz w:val="28"/>
          <w:szCs w:val="28"/>
          <w:shd w:val="clear" w:color="auto" w:fill="FFFFFF"/>
        </w:rPr>
        <w:t>”.</w:t>
      </w:r>
    </w:p>
    <w:p w:rsidR="004733F0" w:rsidRPr="00E3315C" w:rsidRDefault="00FC2121" w:rsidP="00C17D16">
      <w:pPr>
        <w:spacing w:line="520" w:lineRule="atLeast"/>
        <w:jc w:val="both"/>
        <w:rPr>
          <w:rFonts w:ascii="Times New Roman" w:hAnsi="Times New Roman" w:cs="Times New Roman"/>
          <w:sz w:val="28"/>
          <w:szCs w:val="28"/>
        </w:rPr>
      </w:pPr>
      <w:r w:rsidRPr="00E3315C">
        <w:rPr>
          <w:rFonts w:ascii="Times New Roman" w:hAnsi="Times New Roman" w:cs="Times New Roman"/>
          <w:sz w:val="28"/>
          <w:szCs w:val="28"/>
        </w:rPr>
        <w:t xml:space="preserve">Il fatto che, come vedremo, mentre nella bozza </w:t>
      </w:r>
      <w:proofErr w:type="spellStart"/>
      <w:r w:rsidRPr="00E3315C">
        <w:rPr>
          <w:rFonts w:ascii="Times New Roman" w:hAnsi="Times New Roman" w:cs="Times New Roman"/>
          <w:sz w:val="28"/>
          <w:szCs w:val="28"/>
        </w:rPr>
        <w:t>Rordof</w:t>
      </w:r>
      <w:proofErr w:type="spellEnd"/>
      <w:r w:rsidRPr="00E3315C">
        <w:rPr>
          <w:rFonts w:ascii="Times New Roman" w:hAnsi="Times New Roman" w:cs="Times New Roman"/>
          <w:sz w:val="28"/>
          <w:szCs w:val="28"/>
        </w:rPr>
        <w:t xml:space="preserve"> del 2018 si prevedeva che il deposito dell’accordo di ristrutturazione </w:t>
      </w:r>
      <w:r w:rsidR="005B2B3C" w:rsidRPr="00E3315C">
        <w:rPr>
          <w:rFonts w:ascii="Times New Roman" w:hAnsi="Times New Roman" w:cs="Times New Roman"/>
          <w:sz w:val="28"/>
          <w:szCs w:val="28"/>
        </w:rPr>
        <w:t xml:space="preserve">avesse </w:t>
      </w:r>
      <w:r w:rsidR="00B0227A" w:rsidRPr="00E3315C">
        <w:rPr>
          <w:rFonts w:ascii="Times New Roman" w:hAnsi="Times New Roman" w:cs="Times New Roman"/>
          <w:sz w:val="28"/>
          <w:szCs w:val="28"/>
        </w:rPr>
        <w:t>l’</w:t>
      </w:r>
      <w:r w:rsidR="005B2B3C" w:rsidRPr="00E3315C">
        <w:rPr>
          <w:rFonts w:ascii="Times New Roman" w:hAnsi="Times New Roman" w:cs="Times New Roman"/>
          <w:sz w:val="28"/>
          <w:szCs w:val="28"/>
        </w:rPr>
        <w:t xml:space="preserve">effetto protettivo </w:t>
      </w:r>
      <w:r w:rsidR="003630FB" w:rsidRPr="00E3315C">
        <w:rPr>
          <w:rFonts w:ascii="Times New Roman" w:hAnsi="Times New Roman" w:cs="Times New Roman"/>
          <w:sz w:val="28"/>
          <w:szCs w:val="28"/>
        </w:rPr>
        <w:t xml:space="preserve">previsto </w:t>
      </w:r>
      <w:r w:rsidR="005B2B3C" w:rsidRPr="00E3315C">
        <w:rPr>
          <w:rFonts w:ascii="Times New Roman" w:hAnsi="Times New Roman" w:cs="Times New Roman"/>
          <w:sz w:val="28"/>
          <w:szCs w:val="28"/>
        </w:rPr>
        <w:t xml:space="preserve"> per il deposito del concordato rispetto ad esempio all’acquisizione di diritti di prelazione non concordati, oggi l’art. 46 cci prevede questo effetto solo per il concordato. Ciò comporta, secondo taluni, che neppure con la riforma si è risolto il problema circa la natura dell’accordo di ristrutturazione. </w:t>
      </w:r>
    </w:p>
    <w:p w:rsidR="008221BB" w:rsidRPr="00E3315C" w:rsidRDefault="008221BB" w:rsidP="00C17D16">
      <w:pPr>
        <w:spacing w:line="520" w:lineRule="atLeast"/>
        <w:jc w:val="both"/>
        <w:rPr>
          <w:rFonts w:ascii="Times New Roman" w:hAnsi="Times New Roman" w:cs="Times New Roman"/>
          <w:sz w:val="28"/>
          <w:szCs w:val="28"/>
        </w:rPr>
      </w:pPr>
      <w:r w:rsidRPr="00E3315C">
        <w:rPr>
          <w:rFonts w:ascii="Times New Roman" w:hAnsi="Times New Roman" w:cs="Times New Roman"/>
          <w:sz w:val="28"/>
          <w:szCs w:val="28"/>
        </w:rPr>
        <w:t>Caratteristiche</w:t>
      </w:r>
      <w:r w:rsidR="005E67CA" w:rsidRPr="00E3315C">
        <w:rPr>
          <w:rFonts w:ascii="Times New Roman" w:hAnsi="Times New Roman" w:cs="Times New Roman"/>
          <w:sz w:val="28"/>
          <w:szCs w:val="28"/>
        </w:rPr>
        <w:t xml:space="preserve"> degli accordi di ristrutturazione</w:t>
      </w:r>
      <w:r w:rsidR="00EA27CA">
        <w:rPr>
          <w:rFonts w:ascii="Times New Roman" w:hAnsi="Times New Roman" w:cs="Times New Roman"/>
          <w:sz w:val="28"/>
          <w:szCs w:val="28"/>
        </w:rPr>
        <w:t xml:space="preserve"> sono le seguenti</w:t>
      </w:r>
      <w:r w:rsidRPr="00E3315C">
        <w:rPr>
          <w:rFonts w:ascii="Times New Roman" w:hAnsi="Times New Roman" w:cs="Times New Roman"/>
          <w:sz w:val="28"/>
          <w:szCs w:val="28"/>
        </w:rPr>
        <w:t xml:space="preserve">: </w:t>
      </w:r>
    </w:p>
    <w:p w:rsidR="007C78BF" w:rsidRPr="00E3315C" w:rsidRDefault="007C78BF" w:rsidP="00C17D16">
      <w:pPr>
        <w:spacing w:line="520" w:lineRule="atLeast"/>
        <w:jc w:val="both"/>
        <w:rPr>
          <w:rFonts w:ascii="Times New Roman" w:hAnsi="Times New Roman" w:cs="Times New Roman"/>
          <w:sz w:val="28"/>
          <w:szCs w:val="28"/>
        </w:rPr>
      </w:pPr>
      <w:r w:rsidRPr="00E3315C">
        <w:rPr>
          <w:rFonts w:ascii="Times New Roman" w:hAnsi="Times New Roman" w:cs="Times New Roman"/>
          <w:sz w:val="28"/>
          <w:szCs w:val="28"/>
        </w:rPr>
        <w:t>-sono riservati all’imprenditore in stato di crisi o di insolvenza;</w:t>
      </w:r>
    </w:p>
    <w:p w:rsidR="007C78BF" w:rsidRPr="00E3315C" w:rsidRDefault="007C78BF" w:rsidP="00C17D16">
      <w:pPr>
        <w:spacing w:line="520" w:lineRule="atLeast"/>
        <w:jc w:val="both"/>
        <w:rPr>
          <w:rFonts w:ascii="Times New Roman" w:hAnsi="Times New Roman" w:cs="Times New Roman"/>
          <w:sz w:val="28"/>
          <w:szCs w:val="28"/>
        </w:rPr>
      </w:pPr>
      <w:r w:rsidRPr="00E3315C">
        <w:rPr>
          <w:rFonts w:ascii="Times New Roman" w:hAnsi="Times New Roman" w:cs="Times New Roman"/>
          <w:sz w:val="28"/>
          <w:szCs w:val="28"/>
        </w:rPr>
        <w:t>-l’imprenditore può essere anche non commerciale;</w:t>
      </w:r>
    </w:p>
    <w:p w:rsidR="00506B81" w:rsidRPr="00E3315C" w:rsidRDefault="00506B81" w:rsidP="00C17D16">
      <w:pPr>
        <w:spacing w:line="520" w:lineRule="atLeast"/>
        <w:jc w:val="both"/>
        <w:rPr>
          <w:rFonts w:ascii="Times New Roman" w:hAnsi="Times New Roman" w:cs="Times New Roman"/>
          <w:sz w:val="28"/>
          <w:szCs w:val="28"/>
        </w:rPr>
      </w:pPr>
      <w:r w:rsidRPr="00E3315C">
        <w:rPr>
          <w:rFonts w:ascii="Times New Roman" w:hAnsi="Times New Roman" w:cs="Times New Roman"/>
          <w:sz w:val="28"/>
          <w:szCs w:val="28"/>
        </w:rPr>
        <w:t>- e’ previsto che occorra, come nella vecchia normativa, l’accordo del 60% dei creditori.</w:t>
      </w:r>
    </w:p>
    <w:p w:rsidR="007C78BF" w:rsidRPr="00E3315C" w:rsidRDefault="0045078C" w:rsidP="00C17D16">
      <w:pPr>
        <w:pStyle w:val="Default"/>
        <w:spacing w:line="520" w:lineRule="atLeast"/>
        <w:jc w:val="both"/>
        <w:rPr>
          <w:sz w:val="28"/>
          <w:szCs w:val="28"/>
        </w:rPr>
      </w:pPr>
      <w:r w:rsidRPr="00E3315C">
        <w:rPr>
          <w:sz w:val="28"/>
          <w:szCs w:val="28"/>
        </w:rPr>
        <w:t>Gli accordi devono contenere l'indicazione degli elementi del piano economico-finanziario che ne consentono l'esecuzione</w:t>
      </w:r>
      <w:r w:rsidR="00630584" w:rsidRPr="00E3315C">
        <w:rPr>
          <w:sz w:val="28"/>
          <w:szCs w:val="28"/>
        </w:rPr>
        <w:t xml:space="preserve">, che è novità, era elemento implicito. </w:t>
      </w:r>
    </w:p>
    <w:p w:rsidR="00733E4B" w:rsidRPr="00E3315C" w:rsidRDefault="00733E4B" w:rsidP="00C17D16">
      <w:pPr>
        <w:pStyle w:val="Default"/>
        <w:spacing w:line="520" w:lineRule="atLeast"/>
        <w:jc w:val="both"/>
        <w:rPr>
          <w:sz w:val="28"/>
          <w:szCs w:val="28"/>
        </w:rPr>
      </w:pPr>
      <w:r w:rsidRPr="00E3315C">
        <w:rPr>
          <w:sz w:val="28"/>
          <w:szCs w:val="28"/>
        </w:rPr>
        <w:lastRenderedPageBreak/>
        <w:t xml:space="preserve">Un professionista indipendente deve attestare la </w:t>
      </w:r>
      <w:proofErr w:type="spellStart"/>
      <w:r w:rsidRPr="00E3315C">
        <w:rPr>
          <w:sz w:val="28"/>
          <w:szCs w:val="28"/>
        </w:rPr>
        <w:t>veridicita'</w:t>
      </w:r>
      <w:proofErr w:type="spellEnd"/>
      <w:r w:rsidRPr="00E3315C">
        <w:rPr>
          <w:sz w:val="28"/>
          <w:szCs w:val="28"/>
        </w:rPr>
        <w:t xml:space="preserve"> dei dati aziendali e la </w:t>
      </w:r>
      <w:proofErr w:type="spellStart"/>
      <w:r w:rsidRPr="00E3315C">
        <w:rPr>
          <w:sz w:val="28"/>
          <w:szCs w:val="28"/>
        </w:rPr>
        <w:t>fattibilita'</w:t>
      </w:r>
      <w:proofErr w:type="spellEnd"/>
      <w:r w:rsidRPr="00E3315C">
        <w:rPr>
          <w:sz w:val="28"/>
          <w:szCs w:val="28"/>
        </w:rPr>
        <w:t xml:space="preserve"> economica e giuridica del piano. </w:t>
      </w:r>
    </w:p>
    <w:p w:rsidR="00D93E4D" w:rsidRPr="00E3315C" w:rsidRDefault="00733E4B" w:rsidP="00C17D16">
      <w:pPr>
        <w:pStyle w:val="Default"/>
        <w:spacing w:line="520" w:lineRule="atLeast"/>
        <w:jc w:val="both"/>
        <w:rPr>
          <w:sz w:val="28"/>
          <w:szCs w:val="28"/>
        </w:rPr>
      </w:pPr>
      <w:r w:rsidRPr="00E3315C">
        <w:rPr>
          <w:sz w:val="28"/>
          <w:szCs w:val="28"/>
        </w:rPr>
        <w:t xml:space="preserve">L'attestazione deve specificare </w:t>
      </w:r>
      <w:proofErr w:type="spellStart"/>
      <w:r w:rsidRPr="00E3315C">
        <w:rPr>
          <w:sz w:val="28"/>
          <w:szCs w:val="28"/>
        </w:rPr>
        <w:t>l'idoneita'</w:t>
      </w:r>
      <w:proofErr w:type="spellEnd"/>
      <w:r w:rsidRPr="00E3315C">
        <w:rPr>
          <w:sz w:val="28"/>
          <w:szCs w:val="28"/>
        </w:rPr>
        <w:t xml:space="preserve"> dell'accordo e del piano ad assicurare l'integrale pagamento dei creditori estranei nel rispetto dei termini di cui al comma 3.</w:t>
      </w:r>
    </w:p>
    <w:p w:rsidR="00977B2A" w:rsidRPr="00E3315C" w:rsidRDefault="00506B81" w:rsidP="00C17D16">
      <w:pPr>
        <w:pStyle w:val="Default"/>
        <w:spacing w:line="520" w:lineRule="atLeast"/>
        <w:jc w:val="both"/>
        <w:rPr>
          <w:sz w:val="28"/>
          <w:szCs w:val="28"/>
        </w:rPr>
      </w:pPr>
      <w:r w:rsidRPr="00E3315C">
        <w:rPr>
          <w:sz w:val="28"/>
          <w:szCs w:val="28"/>
        </w:rPr>
        <w:t>La legge regola le ipotesi di necessità di rinegoziazione del piano.</w:t>
      </w:r>
      <w:r w:rsidR="00977B2A" w:rsidRPr="00E3315C">
        <w:rPr>
          <w:sz w:val="28"/>
          <w:szCs w:val="28"/>
        </w:rPr>
        <w:t xml:space="preserve"> </w:t>
      </w:r>
    </w:p>
    <w:p w:rsidR="00733E4B" w:rsidRPr="00E3315C" w:rsidRDefault="00330A35" w:rsidP="00C17D16">
      <w:pPr>
        <w:pStyle w:val="Default"/>
        <w:spacing w:line="520" w:lineRule="atLeast"/>
        <w:jc w:val="both"/>
        <w:rPr>
          <w:sz w:val="28"/>
          <w:szCs w:val="28"/>
        </w:rPr>
      </w:pPr>
      <w:r w:rsidRPr="00E3315C">
        <w:rPr>
          <w:sz w:val="28"/>
          <w:szCs w:val="28"/>
        </w:rPr>
        <w:t>1.</w:t>
      </w:r>
      <w:r w:rsidR="00733E4B" w:rsidRPr="00E3315C">
        <w:rPr>
          <w:sz w:val="28"/>
          <w:szCs w:val="28"/>
        </w:rPr>
        <w:t xml:space="preserve">Se prima dell'omologazione intervengono modifiche sostanziali del piano, e' rinnovata l'attestazione di cui all'articolo 57, comma 4, e il debitore chiede il rinnovo delle manifestazioni di consenso ai creditori parti degli accordi. L'attestazione deve essere rinnovata anche in caso di modifiche sostanziali degli accordi. </w:t>
      </w:r>
    </w:p>
    <w:p w:rsidR="00733E4B" w:rsidRPr="00E3315C" w:rsidRDefault="00733E4B" w:rsidP="00C17D16">
      <w:pPr>
        <w:pStyle w:val="Default"/>
        <w:spacing w:line="520" w:lineRule="atLeast"/>
        <w:jc w:val="both"/>
        <w:rPr>
          <w:sz w:val="28"/>
          <w:szCs w:val="28"/>
        </w:rPr>
      </w:pPr>
      <w:r w:rsidRPr="00E3315C">
        <w:rPr>
          <w:sz w:val="28"/>
          <w:szCs w:val="28"/>
        </w:rPr>
        <w:t>2. Qualora dopo l'omologazione si rendano necessarie modifiche sostanziali del piano,</w:t>
      </w:r>
      <w:r w:rsidR="00B065E6" w:rsidRPr="00E3315C">
        <w:rPr>
          <w:sz w:val="28"/>
          <w:szCs w:val="28"/>
        </w:rPr>
        <w:t xml:space="preserve"> l’</w:t>
      </w:r>
      <w:r w:rsidRPr="00E3315C">
        <w:rPr>
          <w:sz w:val="28"/>
          <w:szCs w:val="28"/>
        </w:rPr>
        <w:t>imprenditore vi apporta le modifiche idonee ad assicurare l'esecuzione degli accordi, richiedendo al</w:t>
      </w:r>
      <w:r w:rsidR="00871B85" w:rsidRPr="00E3315C">
        <w:rPr>
          <w:sz w:val="28"/>
          <w:szCs w:val="28"/>
        </w:rPr>
        <w:t xml:space="preserve"> p</w:t>
      </w:r>
      <w:r w:rsidRPr="00E3315C">
        <w:rPr>
          <w:sz w:val="28"/>
          <w:szCs w:val="28"/>
        </w:rPr>
        <w:t xml:space="preserve">rofessionista indicato all'articolo 57, comma 4, il rinnovo dell'attestazione. In tal caso, il piano modificato e l'attestazione sono pubblicati nel registro delle imprese e della pubblicazione </w:t>
      </w:r>
      <w:proofErr w:type="spellStart"/>
      <w:r w:rsidRPr="00E3315C">
        <w:rPr>
          <w:sz w:val="28"/>
          <w:szCs w:val="28"/>
        </w:rPr>
        <w:t>e'</w:t>
      </w:r>
      <w:proofErr w:type="spellEnd"/>
      <w:r w:rsidR="004933A0">
        <w:rPr>
          <w:sz w:val="28"/>
          <w:szCs w:val="28"/>
        </w:rPr>
        <w:t xml:space="preserve"> </w:t>
      </w:r>
      <w:r w:rsidRPr="00E3315C">
        <w:rPr>
          <w:sz w:val="28"/>
          <w:szCs w:val="28"/>
        </w:rPr>
        <w:t>dato avviso ai creditori a mezzo lettera raccomandata o posta elettronica certificata. Entro trenta giorni dalla ricezione dell'avviso e' ammessa opposizione avanti al tribunale, nelle forme di cui all'articolo 48.</w:t>
      </w:r>
    </w:p>
    <w:p w:rsidR="009C7006" w:rsidRPr="00E3315C" w:rsidRDefault="00733E4B" w:rsidP="00C17D16">
      <w:pPr>
        <w:spacing w:line="520" w:lineRule="atLeast"/>
        <w:jc w:val="both"/>
        <w:rPr>
          <w:rFonts w:ascii="Times New Roman" w:hAnsi="Times New Roman" w:cs="Times New Roman"/>
          <w:sz w:val="28"/>
          <w:szCs w:val="28"/>
        </w:rPr>
      </w:pPr>
      <w:r w:rsidRPr="00E3315C">
        <w:rPr>
          <w:rFonts w:ascii="Times New Roman" w:hAnsi="Times New Roman" w:cs="Times New Roman"/>
          <w:sz w:val="28"/>
          <w:szCs w:val="28"/>
        </w:rPr>
        <w:t>Questa possibilità di impugnativa postuma è stata criticata in dottrina, sembrando priva di giustificazione</w:t>
      </w:r>
      <w:r w:rsidR="00846B28" w:rsidRPr="00E3315C">
        <w:rPr>
          <w:rFonts w:ascii="Times New Roman" w:hAnsi="Times New Roman" w:cs="Times New Roman"/>
          <w:sz w:val="28"/>
          <w:szCs w:val="28"/>
        </w:rPr>
        <w:t xml:space="preserve">, il rimedio in questo caso essendo costituito dall’apertura della liquidazione. </w:t>
      </w:r>
    </w:p>
    <w:p w:rsidR="00F3214D" w:rsidRDefault="00EA27CA" w:rsidP="00C17D16">
      <w:pPr>
        <w:spacing w:line="520" w:lineRule="atLeast"/>
        <w:jc w:val="both"/>
        <w:rPr>
          <w:rFonts w:ascii="Times New Roman" w:hAnsi="Times New Roman" w:cs="Times New Roman"/>
          <w:sz w:val="28"/>
          <w:szCs w:val="28"/>
        </w:rPr>
      </w:pPr>
      <w:r>
        <w:rPr>
          <w:rFonts w:ascii="Times New Roman" w:hAnsi="Times New Roman" w:cs="Times New Roman"/>
          <w:sz w:val="28"/>
          <w:szCs w:val="28"/>
        </w:rPr>
        <w:t>Il CCI prevede poi due diversi tipi di accordi di ristrutturazione, ossia gli accordi di ristrutturazione agevolati e quelli ad efficacia estesa.</w:t>
      </w:r>
    </w:p>
    <w:p w:rsidR="00EA27CA" w:rsidRPr="00E3315C" w:rsidRDefault="00EA27CA" w:rsidP="00C17D16">
      <w:pPr>
        <w:spacing w:line="520" w:lineRule="atLeast"/>
        <w:jc w:val="both"/>
        <w:rPr>
          <w:rFonts w:ascii="Times New Roman" w:hAnsi="Times New Roman" w:cs="Times New Roman"/>
          <w:sz w:val="28"/>
          <w:szCs w:val="28"/>
        </w:rPr>
      </w:pPr>
      <w:r>
        <w:rPr>
          <w:rFonts w:ascii="Times New Roman" w:hAnsi="Times New Roman" w:cs="Times New Roman"/>
          <w:sz w:val="28"/>
          <w:szCs w:val="28"/>
        </w:rPr>
        <w:t>I primi sono previsti dall’art.</w:t>
      </w:r>
      <w:r w:rsidR="00DF6A6D">
        <w:rPr>
          <w:rFonts w:ascii="Times New Roman" w:hAnsi="Times New Roman" w:cs="Times New Roman"/>
          <w:sz w:val="28"/>
          <w:szCs w:val="28"/>
        </w:rPr>
        <w:t>60 secondo cui:</w:t>
      </w:r>
      <w:r>
        <w:rPr>
          <w:rFonts w:ascii="Times New Roman" w:hAnsi="Times New Roman" w:cs="Times New Roman"/>
          <w:sz w:val="28"/>
          <w:szCs w:val="28"/>
        </w:rPr>
        <w:t xml:space="preserve">  </w:t>
      </w:r>
    </w:p>
    <w:p w:rsidR="009866F0" w:rsidRPr="00E3315C" w:rsidRDefault="009866F0" w:rsidP="00C17D16">
      <w:pPr>
        <w:pStyle w:val="Default"/>
        <w:spacing w:line="520" w:lineRule="atLeast"/>
        <w:jc w:val="both"/>
        <w:rPr>
          <w:sz w:val="28"/>
          <w:szCs w:val="28"/>
        </w:rPr>
      </w:pPr>
      <w:r w:rsidRPr="00E3315C">
        <w:rPr>
          <w:sz w:val="28"/>
          <w:szCs w:val="28"/>
        </w:rPr>
        <w:t>1. La percentuale di cui al all'articolo 57</w:t>
      </w:r>
      <w:r w:rsidR="00DF6A6D" w:rsidRPr="00DF6A6D">
        <w:rPr>
          <w:sz w:val="28"/>
          <w:szCs w:val="28"/>
        </w:rPr>
        <w:t xml:space="preserve"> </w:t>
      </w:r>
      <w:r w:rsidR="00DF6A6D" w:rsidRPr="00E3315C">
        <w:rPr>
          <w:sz w:val="28"/>
          <w:szCs w:val="28"/>
        </w:rPr>
        <w:t xml:space="preserve">comma 1, </w:t>
      </w:r>
      <w:r w:rsidR="00DF6A6D">
        <w:rPr>
          <w:sz w:val="28"/>
          <w:szCs w:val="28"/>
        </w:rPr>
        <w:t xml:space="preserve"> (ossia il 60%)</w:t>
      </w:r>
      <w:r w:rsidRPr="00E3315C">
        <w:rPr>
          <w:sz w:val="28"/>
          <w:szCs w:val="28"/>
        </w:rPr>
        <w:t xml:space="preserve">, e' ridotta </w:t>
      </w:r>
    </w:p>
    <w:p w:rsidR="009866F0" w:rsidRPr="00E3315C" w:rsidRDefault="009866F0" w:rsidP="00C17D16">
      <w:pPr>
        <w:pStyle w:val="Default"/>
        <w:spacing w:line="520" w:lineRule="atLeast"/>
        <w:jc w:val="both"/>
        <w:rPr>
          <w:sz w:val="28"/>
          <w:szCs w:val="28"/>
        </w:rPr>
      </w:pPr>
      <w:r w:rsidRPr="00E3315C">
        <w:rPr>
          <w:sz w:val="28"/>
          <w:szCs w:val="28"/>
        </w:rPr>
        <w:t xml:space="preserve">della </w:t>
      </w:r>
      <w:proofErr w:type="spellStart"/>
      <w:r w:rsidRPr="00E3315C">
        <w:rPr>
          <w:sz w:val="28"/>
          <w:szCs w:val="28"/>
        </w:rPr>
        <w:t>meta'</w:t>
      </w:r>
      <w:proofErr w:type="spellEnd"/>
      <w:r w:rsidRPr="00E3315C">
        <w:rPr>
          <w:sz w:val="28"/>
          <w:szCs w:val="28"/>
        </w:rPr>
        <w:t xml:space="preserve"> quando il debitore: </w:t>
      </w:r>
    </w:p>
    <w:p w:rsidR="009866F0" w:rsidRPr="00E3315C" w:rsidRDefault="009866F0" w:rsidP="00C17D16">
      <w:pPr>
        <w:pStyle w:val="Default"/>
        <w:spacing w:line="520" w:lineRule="atLeast"/>
        <w:jc w:val="both"/>
        <w:rPr>
          <w:sz w:val="28"/>
          <w:szCs w:val="28"/>
        </w:rPr>
      </w:pPr>
      <w:r w:rsidRPr="00E3315C">
        <w:rPr>
          <w:sz w:val="28"/>
          <w:szCs w:val="28"/>
        </w:rPr>
        <w:t xml:space="preserve">a) non proponga la moratoria dei creditori estranei agli accordi; </w:t>
      </w:r>
    </w:p>
    <w:p w:rsidR="009866F0" w:rsidRPr="00E3315C" w:rsidRDefault="009866F0" w:rsidP="00C17D16">
      <w:pPr>
        <w:pStyle w:val="Default"/>
        <w:spacing w:line="520" w:lineRule="atLeast"/>
        <w:jc w:val="both"/>
        <w:rPr>
          <w:sz w:val="28"/>
          <w:szCs w:val="28"/>
        </w:rPr>
      </w:pPr>
      <w:r w:rsidRPr="00E3315C">
        <w:rPr>
          <w:sz w:val="28"/>
          <w:szCs w:val="28"/>
        </w:rPr>
        <w:t xml:space="preserve">b) non abbia richiesto e rinunci a richiedere misure protettive </w:t>
      </w:r>
    </w:p>
    <w:p w:rsidR="009866F0" w:rsidRPr="00E3315C" w:rsidRDefault="009866F0" w:rsidP="00C17D16">
      <w:pPr>
        <w:pStyle w:val="Default"/>
        <w:spacing w:line="520" w:lineRule="atLeast"/>
        <w:jc w:val="both"/>
        <w:rPr>
          <w:sz w:val="28"/>
          <w:szCs w:val="28"/>
        </w:rPr>
      </w:pPr>
      <w:r w:rsidRPr="00E3315C">
        <w:rPr>
          <w:sz w:val="28"/>
          <w:szCs w:val="28"/>
        </w:rPr>
        <w:t xml:space="preserve">temporanee. </w:t>
      </w:r>
    </w:p>
    <w:p w:rsidR="000C5694" w:rsidRPr="00E3315C" w:rsidRDefault="00950CE2" w:rsidP="00C17D16">
      <w:pPr>
        <w:pStyle w:val="Default"/>
        <w:spacing w:line="520" w:lineRule="atLeast"/>
        <w:jc w:val="both"/>
        <w:rPr>
          <w:sz w:val="28"/>
          <w:szCs w:val="28"/>
        </w:rPr>
      </w:pPr>
      <w:r w:rsidRPr="00E3315C">
        <w:rPr>
          <w:sz w:val="28"/>
          <w:szCs w:val="28"/>
        </w:rPr>
        <w:t xml:space="preserve">L’osservazione è che </w:t>
      </w:r>
      <w:r w:rsidR="00BA1CE0" w:rsidRPr="00E3315C">
        <w:rPr>
          <w:sz w:val="28"/>
          <w:szCs w:val="28"/>
        </w:rPr>
        <w:t xml:space="preserve">questo strumento sembra adatto a condizioni di difficoltà finanziaria lieve, considerando che è limitato al 30% dei creditori, peraltro l’istituto richiede uno stato di crisi (ossia di difficoltà economico-finanziaria che rende probabile l’insolvenza). </w:t>
      </w:r>
    </w:p>
    <w:p w:rsidR="00B6576A" w:rsidRPr="00E3315C" w:rsidRDefault="00B6576A" w:rsidP="00C17D16">
      <w:pPr>
        <w:pStyle w:val="Default"/>
        <w:spacing w:line="520" w:lineRule="atLeast"/>
        <w:jc w:val="both"/>
        <w:rPr>
          <w:sz w:val="28"/>
          <w:szCs w:val="28"/>
        </w:rPr>
      </w:pPr>
    </w:p>
    <w:p w:rsidR="0050027C" w:rsidRPr="00E3315C" w:rsidRDefault="00DF6A6D" w:rsidP="00C17D16">
      <w:pPr>
        <w:spacing w:line="520" w:lineRule="atLeast"/>
        <w:jc w:val="both"/>
        <w:rPr>
          <w:rFonts w:ascii="Times New Roman" w:hAnsi="Times New Roman" w:cs="Times New Roman"/>
          <w:sz w:val="28"/>
          <w:szCs w:val="28"/>
        </w:rPr>
      </w:pPr>
      <w:r>
        <w:rPr>
          <w:rFonts w:ascii="Times New Roman" w:hAnsi="Times New Roman" w:cs="Times New Roman"/>
          <w:sz w:val="28"/>
          <w:szCs w:val="28"/>
        </w:rPr>
        <w:t xml:space="preserve">Per quanto riguarda invece </w:t>
      </w:r>
      <w:r w:rsidRPr="00E3315C">
        <w:rPr>
          <w:rFonts w:ascii="Times New Roman" w:hAnsi="Times New Roman" w:cs="Times New Roman"/>
          <w:sz w:val="28"/>
          <w:szCs w:val="28"/>
        </w:rPr>
        <w:t>gli accordi di ristrutturazione dei debiti ad efficacia estesa</w:t>
      </w:r>
      <w:r>
        <w:rPr>
          <w:rFonts w:ascii="Times New Roman" w:hAnsi="Times New Roman" w:cs="Times New Roman"/>
          <w:sz w:val="28"/>
          <w:szCs w:val="28"/>
        </w:rPr>
        <w:t xml:space="preserve"> previsti dall’art. 61,  la riforma </w:t>
      </w:r>
      <w:r w:rsidR="0050027C" w:rsidRPr="00E3315C">
        <w:rPr>
          <w:rFonts w:ascii="Times New Roman" w:hAnsi="Times New Roman" w:cs="Times New Roman"/>
          <w:sz w:val="28"/>
          <w:szCs w:val="28"/>
        </w:rPr>
        <w:t xml:space="preserve"> ha favorito</w:t>
      </w:r>
      <w:r>
        <w:rPr>
          <w:rFonts w:ascii="Times New Roman" w:hAnsi="Times New Roman" w:cs="Times New Roman"/>
          <w:sz w:val="28"/>
          <w:szCs w:val="28"/>
        </w:rPr>
        <w:t xml:space="preserve"> l’istituto</w:t>
      </w:r>
      <w:r w:rsidR="0050027C" w:rsidRPr="00E3315C">
        <w:rPr>
          <w:rFonts w:ascii="Times New Roman" w:hAnsi="Times New Roman" w:cs="Times New Roman"/>
          <w:sz w:val="28"/>
          <w:szCs w:val="28"/>
        </w:rPr>
        <w:t>, ampliandone la portata con l’estensione dell’istituto a qualsiasi tipo di creditore.</w:t>
      </w:r>
    </w:p>
    <w:p w:rsidR="0050027C" w:rsidRPr="00E3315C" w:rsidRDefault="00807B92" w:rsidP="00C17D16">
      <w:pPr>
        <w:pStyle w:val="Default"/>
        <w:spacing w:line="520" w:lineRule="atLeast"/>
        <w:jc w:val="both"/>
        <w:rPr>
          <w:sz w:val="28"/>
          <w:szCs w:val="28"/>
        </w:rPr>
      </w:pPr>
      <w:r>
        <w:rPr>
          <w:sz w:val="28"/>
          <w:szCs w:val="28"/>
        </w:rPr>
        <w:t>L’art.</w:t>
      </w:r>
      <w:r w:rsidR="0050027C" w:rsidRPr="00E3315C">
        <w:rPr>
          <w:sz w:val="28"/>
          <w:szCs w:val="28"/>
        </w:rPr>
        <w:t xml:space="preserve"> 182 </w:t>
      </w:r>
      <w:proofErr w:type="spellStart"/>
      <w:r w:rsidR="0050027C" w:rsidRPr="00E3315C">
        <w:rPr>
          <w:sz w:val="28"/>
          <w:szCs w:val="28"/>
        </w:rPr>
        <w:t>septies</w:t>
      </w:r>
      <w:proofErr w:type="spellEnd"/>
      <w:r>
        <w:rPr>
          <w:sz w:val="28"/>
          <w:szCs w:val="28"/>
        </w:rPr>
        <w:t xml:space="preserve">, </w:t>
      </w:r>
      <w:r w:rsidR="0050027C" w:rsidRPr="00E3315C">
        <w:rPr>
          <w:sz w:val="28"/>
          <w:szCs w:val="28"/>
        </w:rPr>
        <w:t xml:space="preserve"> introdotto nel 2015</w:t>
      </w:r>
      <w:r>
        <w:rPr>
          <w:sz w:val="28"/>
          <w:szCs w:val="28"/>
        </w:rPr>
        <w:t xml:space="preserve">, prevedeva infatti che tale tipo di accordi si applicassero solo </w:t>
      </w:r>
      <w:r w:rsidR="0050027C" w:rsidRPr="00E3315C">
        <w:rPr>
          <w:sz w:val="28"/>
          <w:szCs w:val="28"/>
        </w:rPr>
        <w:t xml:space="preserve"> </w:t>
      </w:r>
      <w:r w:rsidR="00190B15">
        <w:rPr>
          <w:sz w:val="28"/>
          <w:szCs w:val="28"/>
        </w:rPr>
        <w:t xml:space="preserve">a </w:t>
      </w:r>
      <w:r w:rsidR="00190B15" w:rsidRPr="00E3315C">
        <w:rPr>
          <w:sz w:val="28"/>
          <w:szCs w:val="28"/>
        </w:rPr>
        <w:t>banche e intermediari finanziari</w:t>
      </w:r>
      <w:r w:rsidR="00190B15">
        <w:rPr>
          <w:sz w:val="28"/>
          <w:szCs w:val="28"/>
        </w:rPr>
        <w:t>.</w:t>
      </w:r>
    </w:p>
    <w:p w:rsidR="009866F0" w:rsidRPr="00E3315C" w:rsidRDefault="00190B15" w:rsidP="00C17D16">
      <w:pPr>
        <w:pStyle w:val="Default"/>
        <w:spacing w:line="520" w:lineRule="atLeast"/>
        <w:jc w:val="both"/>
        <w:rPr>
          <w:sz w:val="28"/>
          <w:szCs w:val="28"/>
        </w:rPr>
      </w:pPr>
      <w:r>
        <w:rPr>
          <w:sz w:val="28"/>
          <w:szCs w:val="28"/>
        </w:rPr>
        <w:t xml:space="preserve">L’art. </w:t>
      </w:r>
      <w:r w:rsidR="009866F0" w:rsidRPr="00E3315C">
        <w:rPr>
          <w:sz w:val="28"/>
          <w:szCs w:val="28"/>
        </w:rPr>
        <w:t xml:space="preserve"> 61</w:t>
      </w:r>
      <w:r>
        <w:rPr>
          <w:sz w:val="28"/>
          <w:szCs w:val="28"/>
        </w:rPr>
        <w:t xml:space="preserve"> prevede:</w:t>
      </w:r>
      <w:r w:rsidR="009866F0" w:rsidRPr="00E3315C">
        <w:rPr>
          <w:sz w:val="28"/>
          <w:szCs w:val="28"/>
        </w:rPr>
        <w:t xml:space="preserve"> </w:t>
      </w:r>
    </w:p>
    <w:p w:rsidR="009866F0" w:rsidRPr="00E3315C" w:rsidRDefault="0067177F" w:rsidP="00C17D16">
      <w:pPr>
        <w:pStyle w:val="Default"/>
        <w:spacing w:line="520" w:lineRule="atLeast"/>
        <w:jc w:val="both"/>
        <w:rPr>
          <w:sz w:val="28"/>
          <w:szCs w:val="28"/>
        </w:rPr>
      </w:pPr>
      <w:r>
        <w:rPr>
          <w:sz w:val="28"/>
          <w:szCs w:val="28"/>
        </w:rPr>
        <w:lastRenderedPageBreak/>
        <w:t>“</w:t>
      </w:r>
      <w:r w:rsidR="009866F0" w:rsidRPr="00E3315C">
        <w:rPr>
          <w:sz w:val="28"/>
          <w:szCs w:val="28"/>
        </w:rPr>
        <w:t xml:space="preserve">1. Le disposizioni di cui alla presente sezione si applicano, in deroga agli articoli 1372 e 1411 del codice civile, al caso in cui gli effetti dell'accordo vengano estesi anche ai creditori non aderenti che appartengano alla medesima categoria, individuata tenuto conto </w:t>
      </w:r>
      <w:proofErr w:type="spellStart"/>
      <w:r w:rsidR="009866F0" w:rsidRPr="00E3315C">
        <w:rPr>
          <w:sz w:val="28"/>
          <w:szCs w:val="28"/>
        </w:rPr>
        <w:t>dell'omogeneita'</w:t>
      </w:r>
      <w:proofErr w:type="spellEnd"/>
      <w:r w:rsidR="009866F0" w:rsidRPr="00E3315C">
        <w:rPr>
          <w:sz w:val="28"/>
          <w:szCs w:val="28"/>
        </w:rPr>
        <w:t xml:space="preserve"> di posizione giuridica ed interessi economici. 2. Ai fini di cui al comma 1 occorre che: </w:t>
      </w:r>
    </w:p>
    <w:p w:rsidR="009866F0" w:rsidRPr="00E3315C" w:rsidRDefault="009866F0" w:rsidP="00C17D16">
      <w:pPr>
        <w:pStyle w:val="Default"/>
        <w:spacing w:line="520" w:lineRule="atLeast"/>
        <w:jc w:val="both"/>
        <w:rPr>
          <w:sz w:val="28"/>
          <w:szCs w:val="28"/>
        </w:rPr>
      </w:pPr>
      <w:r w:rsidRPr="00E3315C">
        <w:rPr>
          <w:sz w:val="28"/>
          <w:szCs w:val="28"/>
        </w:rPr>
        <w:t>a) tutti i creditori appartenenti alla categoria siano stati informati dell'avvio delle trattative, siano stati messi in condizione di parteciparvi in buona fede e abbiano ricevuto complete e aggiornate informazioni sulla situazione patrimoniale, economica e</w:t>
      </w:r>
      <w:r w:rsidR="00375216" w:rsidRPr="00E3315C">
        <w:rPr>
          <w:sz w:val="28"/>
          <w:szCs w:val="28"/>
        </w:rPr>
        <w:t xml:space="preserve"> </w:t>
      </w:r>
      <w:r w:rsidRPr="00E3315C">
        <w:rPr>
          <w:sz w:val="28"/>
          <w:szCs w:val="28"/>
        </w:rPr>
        <w:t xml:space="preserve">finanziaria del debitore </w:t>
      </w:r>
      <w:proofErr w:type="spellStart"/>
      <w:r w:rsidRPr="00E3315C">
        <w:rPr>
          <w:sz w:val="28"/>
          <w:szCs w:val="28"/>
        </w:rPr>
        <w:t>nonche</w:t>
      </w:r>
      <w:proofErr w:type="spellEnd"/>
      <w:r w:rsidRPr="00E3315C">
        <w:rPr>
          <w:sz w:val="28"/>
          <w:szCs w:val="28"/>
        </w:rPr>
        <w:t xml:space="preserve">' sull'accordo e sui suoi effetti; </w:t>
      </w:r>
    </w:p>
    <w:p w:rsidR="009866F0" w:rsidRPr="00E3315C" w:rsidRDefault="009866F0" w:rsidP="00C17D16">
      <w:pPr>
        <w:pStyle w:val="Default"/>
        <w:spacing w:line="520" w:lineRule="atLeast"/>
        <w:jc w:val="both"/>
        <w:rPr>
          <w:sz w:val="28"/>
          <w:szCs w:val="28"/>
        </w:rPr>
      </w:pPr>
      <w:r w:rsidRPr="00E3315C">
        <w:rPr>
          <w:sz w:val="28"/>
          <w:szCs w:val="28"/>
        </w:rPr>
        <w:t xml:space="preserve">b) l'accordo abbia carattere non liquidatorio, prevedendo la prosecuzione </w:t>
      </w:r>
      <w:proofErr w:type="spellStart"/>
      <w:r w:rsidRPr="00E3315C">
        <w:rPr>
          <w:sz w:val="28"/>
          <w:szCs w:val="28"/>
        </w:rPr>
        <w:t>dell'attivita'</w:t>
      </w:r>
      <w:proofErr w:type="spellEnd"/>
      <w:r w:rsidRPr="00E3315C">
        <w:rPr>
          <w:sz w:val="28"/>
          <w:szCs w:val="28"/>
        </w:rPr>
        <w:t xml:space="preserve"> d'impresa in via diretta o indiretta ai sensi dell'articolo 84, comma 2, e che i creditori vengano soddisfatti in misura significativa o prevalente dal ricavato della </w:t>
      </w:r>
      <w:proofErr w:type="spellStart"/>
      <w:r w:rsidRPr="00E3315C">
        <w:rPr>
          <w:sz w:val="28"/>
          <w:szCs w:val="28"/>
        </w:rPr>
        <w:t>continuita'</w:t>
      </w:r>
      <w:proofErr w:type="spellEnd"/>
      <w:r w:rsidRPr="00E3315C">
        <w:rPr>
          <w:sz w:val="28"/>
          <w:szCs w:val="28"/>
        </w:rPr>
        <w:t xml:space="preserve"> aziendale; </w:t>
      </w:r>
    </w:p>
    <w:p w:rsidR="007C746A" w:rsidRPr="00E3315C" w:rsidRDefault="009866F0" w:rsidP="00C17D16">
      <w:pPr>
        <w:pStyle w:val="Default"/>
        <w:spacing w:line="520" w:lineRule="atLeast"/>
        <w:jc w:val="both"/>
        <w:rPr>
          <w:sz w:val="28"/>
          <w:szCs w:val="28"/>
        </w:rPr>
      </w:pPr>
      <w:r w:rsidRPr="00E3315C">
        <w:rPr>
          <w:sz w:val="28"/>
          <w:szCs w:val="28"/>
        </w:rPr>
        <w:t>c) i crediti dei creditori aderenti appartenenti alla categoria</w:t>
      </w:r>
      <w:r w:rsidR="00375216" w:rsidRPr="00E3315C">
        <w:rPr>
          <w:sz w:val="28"/>
          <w:szCs w:val="28"/>
        </w:rPr>
        <w:t xml:space="preserve"> </w:t>
      </w:r>
      <w:r w:rsidRPr="00E3315C">
        <w:rPr>
          <w:sz w:val="28"/>
          <w:szCs w:val="28"/>
        </w:rPr>
        <w:t xml:space="preserve">rappresentino il settantacinque per cento di tutti i creditori appartenenti alla categoria, fermo restando che un creditore </w:t>
      </w:r>
      <w:proofErr w:type="spellStart"/>
      <w:r w:rsidRPr="00E3315C">
        <w:rPr>
          <w:sz w:val="28"/>
          <w:szCs w:val="28"/>
        </w:rPr>
        <w:t>puo'</w:t>
      </w:r>
      <w:proofErr w:type="spellEnd"/>
      <w:r w:rsidR="007C746A" w:rsidRPr="00E3315C">
        <w:rPr>
          <w:sz w:val="28"/>
          <w:szCs w:val="28"/>
        </w:rPr>
        <w:t xml:space="preserve"> essere titolare di crediti inseriti in </w:t>
      </w:r>
      <w:proofErr w:type="spellStart"/>
      <w:r w:rsidR="007C746A" w:rsidRPr="00E3315C">
        <w:rPr>
          <w:sz w:val="28"/>
          <w:szCs w:val="28"/>
        </w:rPr>
        <w:t>piu'</w:t>
      </w:r>
      <w:proofErr w:type="spellEnd"/>
      <w:r w:rsidR="007C746A" w:rsidRPr="00E3315C">
        <w:rPr>
          <w:sz w:val="28"/>
          <w:szCs w:val="28"/>
        </w:rPr>
        <w:t xml:space="preserve"> di una categoria; </w:t>
      </w:r>
    </w:p>
    <w:p w:rsidR="007C746A" w:rsidRPr="00E3315C" w:rsidRDefault="007C746A" w:rsidP="00C17D16">
      <w:pPr>
        <w:pStyle w:val="Default"/>
        <w:spacing w:line="520" w:lineRule="atLeast"/>
        <w:jc w:val="both"/>
        <w:rPr>
          <w:sz w:val="28"/>
          <w:szCs w:val="28"/>
        </w:rPr>
      </w:pPr>
      <w:r w:rsidRPr="00E3315C">
        <w:rPr>
          <w:sz w:val="28"/>
          <w:szCs w:val="28"/>
        </w:rPr>
        <w:t>d) i creditori della medesima categoria non aderenti cui vengono</w:t>
      </w:r>
      <w:r w:rsidR="00375216" w:rsidRPr="00E3315C">
        <w:rPr>
          <w:sz w:val="28"/>
          <w:szCs w:val="28"/>
        </w:rPr>
        <w:t xml:space="preserve"> </w:t>
      </w:r>
      <w:r w:rsidRPr="00E3315C">
        <w:rPr>
          <w:sz w:val="28"/>
          <w:szCs w:val="28"/>
        </w:rPr>
        <w:t>estesi gli effetti dell'accordo possano risultare soddisfatti in base all'accordo stesso in misura non inferiore rispetto alla</w:t>
      </w:r>
      <w:r w:rsidR="00375216" w:rsidRPr="00E3315C">
        <w:rPr>
          <w:sz w:val="28"/>
          <w:szCs w:val="28"/>
        </w:rPr>
        <w:t xml:space="preserve"> l</w:t>
      </w:r>
      <w:r w:rsidRPr="00E3315C">
        <w:rPr>
          <w:sz w:val="28"/>
          <w:szCs w:val="28"/>
        </w:rPr>
        <w:t>iquidazione giudiziale</w:t>
      </w:r>
      <w:r w:rsidR="00836219">
        <w:rPr>
          <w:sz w:val="28"/>
          <w:szCs w:val="28"/>
        </w:rPr>
        <w:t>.</w:t>
      </w:r>
      <w:r w:rsidRPr="00E3315C">
        <w:rPr>
          <w:sz w:val="28"/>
          <w:szCs w:val="28"/>
        </w:rPr>
        <w:t xml:space="preserve"> </w:t>
      </w:r>
    </w:p>
    <w:p w:rsidR="007C746A" w:rsidRPr="00E3315C" w:rsidRDefault="007C746A" w:rsidP="00C17D16">
      <w:pPr>
        <w:pStyle w:val="Default"/>
        <w:spacing w:line="520" w:lineRule="atLeast"/>
        <w:jc w:val="both"/>
        <w:rPr>
          <w:sz w:val="28"/>
          <w:szCs w:val="28"/>
        </w:rPr>
      </w:pPr>
      <w:r w:rsidRPr="00E3315C">
        <w:rPr>
          <w:sz w:val="28"/>
          <w:szCs w:val="28"/>
        </w:rPr>
        <w:t xml:space="preserve">e) il debitore abbia notificato l'accordo, la domanda di omologazione e i documenti allegati ai creditori nei confronti dei quali chiede di estendere gli effetti dell'accordo. </w:t>
      </w:r>
    </w:p>
    <w:p w:rsidR="007C746A" w:rsidRPr="00E3315C" w:rsidRDefault="007C746A" w:rsidP="00C17D16">
      <w:pPr>
        <w:pStyle w:val="Default"/>
        <w:spacing w:line="520" w:lineRule="atLeast"/>
        <w:jc w:val="both"/>
        <w:rPr>
          <w:sz w:val="28"/>
          <w:szCs w:val="28"/>
        </w:rPr>
      </w:pPr>
      <w:r w:rsidRPr="00E3315C">
        <w:rPr>
          <w:sz w:val="28"/>
          <w:szCs w:val="28"/>
        </w:rPr>
        <w:t xml:space="preserve">3. I creditori della medesima categoria non aderenti ai quali il debitore chiede di estendere gli effetti dell'accordo possono proporre opposizione ai sensi dell'articolo 48, comma 4. Per essi, il termine per proporre opposizione decorre dalla data della comunicazione. </w:t>
      </w:r>
    </w:p>
    <w:p w:rsidR="007C746A" w:rsidRPr="00E3315C" w:rsidRDefault="007C746A" w:rsidP="00C17D16">
      <w:pPr>
        <w:pStyle w:val="Default"/>
        <w:spacing w:line="520" w:lineRule="atLeast"/>
        <w:jc w:val="both"/>
        <w:rPr>
          <w:sz w:val="28"/>
          <w:szCs w:val="28"/>
        </w:rPr>
      </w:pPr>
      <w:r w:rsidRPr="00E3315C">
        <w:rPr>
          <w:sz w:val="28"/>
          <w:szCs w:val="28"/>
        </w:rPr>
        <w:t xml:space="preserve">4. In nessun caso, per effetto dell'accordo di ristrutturazione,ai creditori ai quali e' stato esteso l'accordo possono essere imposti l'esecuzione di nuove prestazioni, la concessione di affidamenti, il mantenimento della </w:t>
      </w:r>
      <w:proofErr w:type="spellStart"/>
      <w:r w:rsidRPr="00E3315C">
        <w:rPr>
          <w:sz w:val="28"/>
          <w:szCs w:val="28"/>
        </w:rPr>
        <w:t>possibilita'</w:t>
      </w:r>
      <w:proofErr w:type="spellEnd"/>
      <w:r w:rsidRPr="00E3315C">
        <w:rPr>
          <w:sz w:val="28"/>
          <w:szCs w:val="28"/>
        </w:rPr>
        <w:t xml:space="preserve"> di utilizzare</w:t>
      </w:r>
      <w:r w:rsidR="00375216" w:rsidRPr="00E3315C">
        <w:rPr>
          <w:sz w:val="28"/>
          <w:szCs w:val="28"/>
        </w:rPr>
        <w:t xml:space="preserve"> </w:t>
      </w:r>
      <w:r w:rsidRPr="00E3315C">
        <w:rPr>
          <w:sz w:val="28"/>
          <w:szCs w:val="28"/>
        </w:rPr>
        <w:t xml:space="preserve">affidamenti esistenti o l'erogazione di nuovi </w:t>
      </w:r>
      <w:r w:rsidR="00375216" w:rsidRPr="00E3315C">
        <w:rPr>
          <w:sz w:val="28"/>
          <w:szCs w:val="28"/>
        </w:rPr>
        <w:t>f</w:t>
      </w:r>
      <w:r w:rsidRPr="00E3315C">
        <w:rPr>
          <w:sz w:val="28"/>
          <w:szCs w:val="28"/>
        </w:rPr>
        <w:t xml:space="preserve">inanziamenti. Non e' considerata nuova prestazione la prosecuzione della concessione del godimento di beni oggetto di contratti di locazione finanziaria </w:t>
      </w:r>
      <w:proofErr w:type="spellStart"/>
      <w:r w:rsidRPr="00E3315C">
        <w:rPr>
          <w:sz w:val="28"/>
          <w:szCs w:val="28"/>
        </w:rPr>
        <w:t>gia'</w:t>
      </w:r>
      <w:proofErr w:type="spellEnd"/>
      <w:r w:rsidRPr="00E3315C">
        <w:rPr>
          <w:sz w:val="28"/>
          <w:szCs w:val="28"/>
        </w:rPr>
        <w:t xml:space="preserve"> stipulati. </w:t>
      </w:r>
      <w:r w:rsidR="0067177F">
        <w:rPr>
          <w:sz w:val="28"/>
          <w:szCs w:val="28"/>
        </w:rPr>
        <w:t>“</w:t>
      </w:r>
    </w:p>
    <w:p w:rsidR="0067177F" w:rsidRDefault="0067177F" w:rsidP="00C17D16">
      <w:pPr>
        <w:spacing w:line="520" w:lineRule="atLeast"/>
        <w:jc w:val="both"/>
        <w:rPr>
          <w:rFonts w:ascii="Times New Roman" w:hAnsi="Times New Roman" w:cs="Times New Roman"/>
          <w:sz w:val="28"/>
          <w:szCs w:val="28"/>
        </w:rPr>
      </w:pPr>
      <w:r>
        <w:rPr>
          <w:rFonts w:ascii="Times New Roman" w:hAnsi="Times New Roman" w:cs="Times New Roman"/>
          <w:sz w:val="28"/>
          <w:szCs w:val="28"/>
        </w:rPr>
        <w:t>In merito a questa norma si può osservare che è utilizzato il termine “categoria” che è meno rigido di quello di “classe”.</w:t>
      </w:r>
    </w:p>
    <w:p w:rsidR="0067177F" w:rsidRDefault="0067177F" w:rsidP="00C17D16">
      <w:pPr>
        <w:spacing w:line="520" w:lineRule="atLeast"/>
        <w:jc w:val="both"/>
        <w:rPr>
          <w:rFonts w:ascii="Times New Roman" w:hAnsi="Times New Roman" w:cs="Times New Roman"/>
          <w:sz w:val="28"/>
          <w:szCs w:val="28"/>
        </w:rPr>
      </w:pPr>
      <w:r w:rsidRPr="00E3315C">
        <w:rPr>
          <w:rFonts w:ascii="Times New Roman" w:hAnsi="Times New Roman" w:cs="Times New Roman"/>
          <w:sz w:val="28"/>
          <w:szCs w:val="28"/>
        </w:rPr>
        <w:t xml:space="preserve">Una seconda novità riguarda  la necessità di verifica di convenienza (61 c 2 </w:t>
      </w:r>
      <w:proofErr w:type="spellStart"/>
      <w:r w:rsidRPr="00E3315C">
        <w:rPr>
          <w:rFonts w:ascii="Times New Roman" w:hAnsi="Times New Roman" w:cs="Times New Roman"/>
          <w:sz w:val="28"/>
          <w:szCs w:val="28"/>
        </w:rPr>
        <w:t>lett</w:t>
      </w:r>
      <w:proofErr w:type="spellEnd"/>
      <w:r w:rsidRPr="00E3315C">
        <w:rPr>
          <w:rFonts w:ascii="Times New Roman" w:hAnsi="Times New Roman" w:cs="Times New Roman"/>
          <w:sz w:val="28"/>
          <w:szCs w:val="28"/>
        </w:rPr>
        <w:t>. D)</w:t>
      </w:r>
      <w:r>
        <w:rPr>
          <w:rFonts w:ascii="Times New Roman" w:hAnsi="Times New Roman" w:cs="Times New Roman"/>
          <w:sz w:val="28"/>
          <w:szCs w:val="28"/>
        </w:rPr>
        <w:t>, prevista</w:t>
      </w:r>
      <w:r w:rsidRPr="00E3315C">
        <w:rPr>
          <w:rFonts w:ascii="Times New Roman" w:hAnsi="Times New Roman" w:cs="Times New Roman"/>
          <w:sz w:val="28"/>
          <w:szCs w:val="28"/>
        </w:rPr>
        <w:t xml:space="preserve"> in misura non inferiore a</w:t>
      </w:r>
      <w:r>
        <w:rPr>
          <w:rFonts w:ascii="Times New Roman" w:hAnsi="Times New Roman" w:cs="Times New Roman"/>
          <w:sz w:val="28"/>
          <w:szCs w:val="28"/>
        </w:rPr>
        <w:t>lla</w:t>
      </w:r>
      <w:r w:rsidRPr="00E3315C">
        <w:rPr>
          <w:rFonts w:ascii="Times New Roman" w:hAnsi="Times New Roman" w:cs="Times New Roman"/>
          <w:sz w:val="28"/>
          <w:szCs w:val="28"/>
        </w:rPr>
        <w:t xml:space="preserve"> liquidazione giudiziale</w:t>
      </w:r>
      <w:r>
        <w:rPr>
          <w:rFonts w:ascii="Times New Roman" w:hAnsi="Times New Roman" w:cs="Times New Roman"/>
          <w:sz w:val="28"/>
          <w:szCs w:val="28"/>
        </w:rPr>
        <w:t>.</w:t>
      </w:r>
      <w:r w:rsidRPr="00E3315C">
        <w:rPr>
          <w:rFonts w:ascii="Times New Roman" w:hAnsi="Times New Roman" w:cs="Times New Roman"/>
          <w:sz w:val="28"/>
          <w:szCs w:val="28"/>
        </w:rPr>
        <w:t xml:space="preserve"> Nel testo attual</w:t>
      </w:r>
      <w:r>
        <w:rPr>
          <w:rFonts w:ascii="Times New Roman" w:hAnsi="Times New Roman" w:cs="Times New Roman"/>
          <w:sz w:val="28"/>
          <w:szCs w:val="28"/>
        </w:rPr>
        <w:t>ment</w:t>
      </w:r>
      <w:r w:rsidRPr="00E3315C">
        <w:rPr>
          <w:rFonts w:ascii="Times New Roman" w:hAnsi="Times New Roman" w:cs="Times New Roman"/>
          <w:sz w:val="28"/>
          <w:szCs w:val="28"/>
        </w:rPr>
        <w:t xml:space="preserve">e </w:t>
      </w:r>
      <w:r>
        <w:rPr>
          <w:rFonts w:ascii="Times New Roman" w:hAnsi="Times New Roman" w:cs="Times New Roman"/>
          <w:sz w:val="28"/>
          <w:szCs w:val="28"/>
        </w:rPr>
        <w:t xml:space="preserve">vigente invece il </w:t>
      </w:r>
      <w:r w:rsidRPr="00E3315C">
        <w:rPr>
          <w:rFonts w:ascii="Times New Roman" w:hAnsi="Times New Roman" w:cs="Times New Roman"/>
          <w:sz w:val="28"/>
          <w:szCs w:val="28"/>
        </w:rPr>
        <w:t xml:space="preserve">confronto </w:t>
      </w:r>
      <w:r>
        <w:rPr>
          <w:rFonts w:ascii="Times New Roman" w:hAnsi="Times New Roman" w:cs="Times New Roman"/>
          <w:sz w:val="28"/>
          <w:szCs w:val="28"/>
        </w:rPr>
        <w:t xml:space="preserve">è </w:t>
      </w:r>
      <w:r w:rsidRPr="00E3315C">
        <w:rPr>
          <w:rFonts w:ascii="Times New Roman" w:hAnsi="Times New Roman" w:cs="Times New Roman"/>
          <w:sz w:val="28"/>
          <w:szCs w:val="28"/>
        </w:rPr>
        <w:t>con alternative concretamente praticabili (confronto quindi con altri strumenti di regolamentazione della crisi).</w:t>
      </w:r>
    </w:p>
    <w:p w:rsidR="0067177F" w:rsidRPr="00E3315C" w:rsidRDefault="0067177F" w:rsidP="00C17D16">
      <w:pPr>
        <w:spacing w:line="520" w:lineRule="atLeast"/>
        <w:jc w:val="both"/>
        <w:rPr>
          <w:rFonts w:ascii="Times New Roman" w:hAnsi="Times New Roman" w:cs="Times New Roman"/>
          <w:sz w:val="28"/>
          <w:szCs w:val="28"/>
        </w:rPr>
      </w:pPr>
      <w:r w:rsidRPr="00E3315C">
        <w:rPr>
          <w:rFonts w:ascii="Times New Roman" w:hAnsi="Times New Roman" w:cs="Times New Roman"/>
          <w:sz w:val="28"/>
          <w:szCs w:val="28"/>
        </w:rPr>
        <w:t>La riforma</w:t>
      </w:r>
      <w:r>
        <w:rPr>
          <w:rFonts w:ascii="Times New Roman" w:hAnsi="Times New Roman" w:cs="Times New Roman"/>
          <w:sz w:val="28"/>
          <w:szCs w:val="28"/>
        </w:rPr>
        <w:t>,</w:t>
      </w:r>
      <w:r w:rsidRPr="00E3315C">
        <w:rPr>
          <w:rFonts w:ascii="Times New Roman" w:hAnsi="Times New Roman" w:cs="Times New Roman"/>
          <w:sz w:val="28"/>
          <w:szCs w:val="28"/>
        </w:rPr>
        <w:t xml:space="preserve"> prevede</w:t>
      </w:r>
      <w:r>
        <w:rPr>
          <w:rFonts w:ascii="Times New Roman" w:hAnsi="Times New Roman" w:cs="Times New Roman"/>
          <w:sz w:val="28"/>
          <w:szCs w:val="28"/>
        </w:rPr>
        <w:t>ndo</w:t>
      </w:r>
      <w:r w:rsidRPr="00E3315C">
        <w:rPr>
          <w:rFonts w:ascii="Times New Roman" w:hAnsi="Times New Roman" w:cs="Times New Roman"/>
          <w:sz w:val="28"/>
          <w:szCs w:val="28"/>
        </w:rPr>
        <w:t xml:space="preserve"> il confronto solo con liquidazione (come consentito dalla direttiva europea sulle ristrutturazioni</w:t>
      </w:r>
      <w:r>
        <w:rPr>
          <w:rFonts w:ascii="Times New Roman" w:hAnsi="Times New Roman" w:cs="Times New Roman"/>
          <w:sz w:val="28"/>
          <w:szCs w:val="28"/>
        </w:rPr>
        <w:t>), abbasserà probabilmente</w:t>
      </w:r>
      <w:r w:rsidRPr="00E3315C">
        <w:rPr>
          <w:rFonts w:ascii="Times New Roman" w:hAnsi="Times New Roman" w:cs="Times New Roman"/>
          <w:sz w:val="28"/>
          <w:szCs w:val="28"/>
        </w:rPr>
        <w:t xml:space="preserve"> la soglia della convenienza.</w:t>
      </w:r>
    </w:p>
    <w:p w:rsidR="0067177F" w:rsidRPr="00E3315C" w:rsidRDefault="0067177F" w:rsidP="00C17D16">
      <w:pPr>
        <w:spacing w:line="520" w:lineRule="atLeast"/>
        <w:jc w:val="both"/>
        <w:rPr>
          <w:rFonts w:ascii="Times New Roman" w:hAnsi="Times New Roman" w:cs="Times New Roman"/>
          <w:sz w:val="28"/>
          <w:szCs w:val="28"/>
        </w:rPr>
      </w:pPr>
      <w:r w:rsidRPr="00E3315C">
        <w:rPr>
          <w:rFonts w:ascii="Times New Roman" w:hAnsi="Times New Roman" w:cs="Times New Roman"/>
          <w:sz w:val="28"/>
          <w:szCs w:val="28"/>
        </w:rPr>
        <w:lastRenderedPageBreak/>
        <w:t xml:space="preserve">Questo però potrebbe indurre giurisprudenza a maggiore severità rispetto a prima, in cui gli accordi avvenivano tra soggetti </w:t>
      </w:r>
      <w:proofErr w:type="spellStart"/>
      <w:r w:rsidRPr="00E3315C">
        <w:rPr>
          <w:rFonts w:ascii="Times New Roman" w:hAnsi="Times New Roman" w:cs="Times New Roman"/>
          <w:sz w:val="28"/>
          <w:szCs w:val="28"/>
        </w:rPr>
        <w:t>asseritamente</w:t>
      </w:r>
      <w:proofErr w:type="spellEnd"/>
      <w:r w:rsidRPr="00E3315C">
        <w:rPr>
          <w:rFonts w:ascii="Times New Roman" w:hAnsi="Times New Roman" w:cs="Times New Roman"/>
          <w:sz w:val="28"/>
          <w:szCs w:val="28"/>
        </w:rPr>
        <w:t xml:space="preserve"> in posizione paritaria. </w:t>
      </w:r>
    </w:p>
    <w:p w:rsidR="00EA727E" w:rsidRPr="00E3315C" w:rsidRDefault="0067177F" w:rsidP="00C17D16">
      <w:pPr>
        <w:pStyle w:val="Default"/>
        <w:spacing w:line="520" w:lineRule="atLeast"/>
        <w:jc w:val="both"/>
        <w:rPr>
          <w:sz w:val="28"/>
          <w:szCs w:val="28"/>
        </w:rPr>
      </w:pPr>
      <w:r>
        <w:rPr>
          <w:sz w:val="28"/>
          <w:szCs w:val="28"/>
        </w:rPr>
        <w:t xml:space="preserve">La norma regola poi </w:t>
      </w:r>
      <w:r w:rsidR="00EA727E" w:rsidRPr="00E3315C">
        <w:rPr>
          <w:sz w:val="28"/>
          <w:szCs w:val="28"/>
        </w:rPr>
        <w:t xml:space="preserve"> il caso di deb</w:t>
      </w:r>
      <w:r w:rsidR="005E0860">
        <w:rPr>
          <w:sz w:val="28"/>
          <w:szCs w:val="28"/>
        </w:rPr>
        <w:t>iti verso banche e intermediari:</w:t>
      </w:r>
    </w:p>
    <w:p w:rsidR="007C746A" w:rsidRPr="00E3315C" w:rsidRDefault="0067177F" w:rsidP="00C17D16">
      <w:pPr>
        <w:pStyle w:val="Default"/>
        <w:spacing w:line="520" w:lineRule="atLeast"/>
        <w:jc w:val="both"/>
        <w:rPr>
          <w:sz w:val="28"/>
          <w:szCs w:val="28"/>
        </w:rPr>
      </w:pPr>
      <w:r>
        <w:rPr>
          <w:sz w:val="28"/>
          <w:szCs w:val="28"/>
        </w:rPr>
        <w:t>“</w:t>
      </w:r>
      <w:r w:rsidR="007C746A" w:rsidRPr="00E3315C">
        <w:rPr>
          <w:sz w:val="28"/>
          <w:szCs w:val="28"/>
        </w:rPr>
        <w:t xml:space="preserve">5. Quando un'impresa ha debiti verso banche e intermediari finanziari in misura non inferiore alla </w:t>
      </w:r>
      <w:proofErr w:type="spellStart"/>
      <w:r w:rsidR="007C746A" w:rsidRPr="00E3315C">
        <w:rPr>
          <w:sz w:val="28"/>
          <w:szCs w:val="28"/>
        </w:rPr>
        <w:t>meta'</w:t>
      </w:r>
      <w:proofErr w:type="spellEnd"/>
      <w:r w:rsidR="007C746A" w:rsidRPr="00E3315C">
        <w:rPr>
          <w:sz w:val="28"/>
          <w:szCs w:val="28"/>
        </w:rPr>
        <w:t xml:space="preserve"> dell'indebitamento complessivo, l'accordo di ristrutturazione dei debiti </w:t>
      </w:r>
      <w:proofErr w:type="spellStart"/>
      <w:r w:rsidR="007C746A" w:rsidRPr="00E3315C">
        <w:rPr>
          <w:sz w:val="28"/>
          <w:szCs w:val="28"/>
        </w:rPr>
        <w:t>puo'</w:t>
      </w:r>
      <w:proofErr w:type="spellEnd"/>
      <w:r w:rsidR="007C746A" w:rsidRPr="00E3315C">
        <w:rPr>
          <w:sz w:val="28"/>
          <w:szCs w:val="28"/>
        </w:rPr>
        <w:t xml:space="preserve"> individuare una o </w:t>
      </w:r>
      <w:proofErr w:type="spellStart"/>
      <w:r w:rsidR="007C746A" w:rsidRPr="00E3315C">
        <w:rPr>
          <w:sz w:val="28"/>
          <w:szCs w:val="28"/>
        </w:rPr>
        <w:t>piu'</w:t>
      </w:r>
      <w:proofErr w:type="spellEnd"/>
      <w:r w:rsidR="007C746A" w:rsidRPr="00E3315C">
        <w:rPr>
          <w:sz w:val="28"/>
          <w:szCs w:val="28"/>
        </w:rPr>
        <w:t xml:space="preserve"> categorie tra tali tipologie di creditori che</w:t>
      </w:r>
      <w:r w:rsidR="00375216" w:rsidRPr="00E3315C">
        <w:rPr>
          <w:sz w:val="28"/>
          <w:szCs w:val="28"/>
        </w:rPr>
        <w:t xml:space="preserve"> </w:t>
      </w:r>
      <w:r w:rsidR="007C746A" w:rsidRPr="00E3315C">
        <w:rPr>
          <w:sz w:val="28"/>
          <w:szCs w:val="28"/>
        </w:rPr>
        <w:t xml:space="preserve">abbiano fra loro posizione giuridica ed interessi economici omogenei. </w:t>
      </w:r>
    </w:p>
    <w:p w:rsidR="007C746A" w:rsidRPr="00E3315C" w:rsidRDefault="007C746A" w:rsidP="00C17D16">
      <w:pPr>
        <w:pStyle w:val="Default"/>
        <w:spacing w:line="520" w:lineRule="atLeast"/>
        <w:jc w:val="both"/>
        <w:rPr>
          <w:sz w:val="28"/>
          <w:szCs w:val="28"/>
        </w:rPr>
      </w:pPr>
      <w:r w:rsidRPr="00E3315C">
        <w:rPr>
          <w:sz w:val="28"/>
          <w:szCs w:val="28"/>
        </w:rPr>
        <w:t xml:space="preserve">In tal caso il debitore, con il ricorso di cui all'articolo 40, </w:t>
      </w:r>
      <w:proofErr w:type="spellStart"/>
      <w:r w:rsidRPr="00E3315C">
        <w:rPr>
          <w:sz w:val="28"/>
          <w:szCs w:val="28"/>
        </w:rPr>
        <w:t>puo'</w:t>
      </w:r>
      <w:proofErr w:type="spellEnd"/>
      <w:r w:rsidRPr="00E3315C">
        <w:rPr>
          <w:sz w:val="28"/>
          <w:szCs w:val="28"/>
        </w:rPr>
        <w:t xml:space="preserve"> chiedere, anche se non ricorre la condizione prevista dal comma 2, lettera b), che gli effetti dell'accordo vengano estesi anche ai creditori non aderenti appartenenti alla medesima categoria. Restano</w:t>
      </w:r>
      <w:r w:rsidR="00375216" w:rsidRPr="00E3315C">
        <w:rPr>
          <w:sz w:val="28"/>
          <w:szCs w:val="28"/>
        </w:rPr>
        <w:t xml:space="preserve"> </w:t>
      </w:r>
      <w:r w:rsidRPr="00E3315C">
        <w:rPr>
          <w:sz w:val="28"/>
          <w:szCs w:val="28"/>
        </w:rPr>
        <w:t xml:space="preserve">fermi i diritti dei creditori diversi da banche e intermediari finanziari. </w:t>
      </w:r>
      <w:r w:rsidR="0067177F">
        <w:rPr>
          <w:sz w:val="28"/>
          <w:szCs w:val="28"/>
        </w:rPr>
        <w:t>“</w:t>
      </w:r>
    </w:p>
    <w:p w:rsidR="00EA727E" w:rsidRPr="00E3315C" w:rsidRDefault="00EA727E" w:rsidP="00C17D16">
      <w:pPr>
        <w:spacing w:line="520" w:lineRule="atLeast"/>
        <w:jc w:val="both"/>
        <w:rPr>
          <w:rFonts w:ascii="Times New Roman" w:hAnsi="Times New Roman" w:cs="Times New Roman"/>
          <w:sz w:val="28"/>
          <w:szCs w:val="28"/>
        </w:rPr>
      </w:pPr>
      <w:r w:rsidRPr="00E3315C">
        <w:rPr>
          <w:rFonts w:ascii="Times New Roman" w:hAnsi="Times New Roman" w:cs="Times New Roman"/>
          <w:sz w:val="28"/>
          <w:szCs w:val="28"/>
        </w:rPr>
        <w:t>Il non ricorrere della condizione prevista dal comma 2 significa che in questo caso l’accordo può avere carattere liquidatorio.</w:t>
      </w:r>
    </w:p>
    <w:p w:rsidR="00CF4EAD" w:rsidRPr="00E3315C" w:rsidRDefault="00CF4EAD" w:rsidP="00C17D16">
      <w:pPr>
        <w:spacing w:line="520" w:lineRule="atLeast"/>
        <w:jc w:val="both"/>
        <w:rPr>
          <w:rFonts w:ascii="Times New Roman" w:hAnsi="Times New Roman" w:cs="Times New Roman"/>
          <w:sz w:val="28"/>
          <w:szCs w:val="28"/>
        </w:rPr>
      </w:pPr>
      <w:r w:rsidRPr="00E3315C">
        <w:rPr>
          <w:rFonts w:ascii="Times New Roman" w:hAnsi="Times New Roman" w:cs="Times New Roman"/>
          <w:sz w:val="28"/>
          <w:szCs w:val="28"/>
        </w:rPr>
        <w:t>Non c’è protezione rispetto a acquisto  di titoli di prelazione non concordati né l’inefficacia di</w:t>
      </w:r>
      <w:r w:rsidR="00375216" w:rsidRPr="00E3315C">
        <w:rPr>
          <w:rFonts w:ascii="Times New Roman" w:hAnsi="Times New Roman" w:cs="Times New Roman"/>
          <w:sz w:val="28"/>
          <w:szCs w:val="28"/>
        </w:rPr>
        <w:t xml:space="preserve"> </w:t>
      </w:r>
      <w:r w:rsidRPr="00E3315C">
        <w:rPr>
          <w:rFonts w:ascii="Times New Roman" w:hAnsi="Times New Roman" w:cs="Times New Roman"/>
          <w:sz w:val="28"/>
          <w:szCs w:val="28"/>
        </w:rPr>
        <w:t xml:space="preserve">ipoteche giudiziali iscritte nei 90 giorni, neppure –com’è attualmente_ ai fini della formazione delle “categorie “ di creditori (art. 182 </w:t>
      </w:r>
      <w:proofErr w:type="spellStart"/>
      <w:r w:rsidRPr="00E3315C">
        <w:rPr>
          <w:rFonts w:ascii="Times New Roman" w:hAnsi="Times New Roman" w:cs="Times New Roman"/>
          <w:sz w:val="28"/>
          <w:szCs w:val="28"/>
        </w:rPr>
        <w:t>septies</w:t>
      </w:r>
      <w:proofErr w:type="spellEnd"/>
      <w:r w:rsidRPr="00E3315C">
        <w:rPr>
          <w:rFonts w:ascii="Times New Roman" w:hAnsi="Times New Roman" w:cs="Times New Roman"/>
          <w:sz w:val="28"/>
          <w:szCs w:val="28"/>
        </w:rPr>
        <w:t xml:space="preserve"> comma 3). Si perde così ogni effetto di riduzione del comportamento opportunistico del creditore non aderente</w:t>
      </w:r>
      <w:r w:rsidR="00363CA9">
        <w:rPr>
          <w:rFonts w:ascii="Times New Roman" w:hAnsi="Times New Roman" w:cs="Times New Roman"/>
          <w:sz w:val="28"/>
          <w:szCs w:val="28"/>
        </w:rPr>
        <w:t xml:space="preserve">, che è forse frutto di </w:t>
      </w:r>
      <w:r w:rsidRPr="00E3315C">
        <w:rPr>
          <w:rFonts w:ascii="Times New Roman" w:hAnsi="Times New Roman" w:cs="Times New Roman"/>
          <w:sz w:val="28"/>
          <w:szCs w:val="28"/>
        </w:rPr>
        <w:t>errore.</w:t>
      </w:r>
    </w:p>
    <w:p w:rsidR="00CF4EAD" w:rsidRPr="00E3315C" w:rsidRDefault="00CF4EAD" w:rsidP="00C17D16">
      <w:pPr>
        <w:spacing w:line="520" w:lineRule="atLeast"/>
        <w:jc w:val="both"/>
        <w:rPr>
          <w:rFonts w:ascii="Times New Roman" w:hAnsi="Times New Roman" w:cs="Times New Roman"/>
          <w:sz w:val="28"/>
          <w:szCs w:val="28"/>
        </w:rPr>
      </w:pPr>
      <w:r w:rsidRPr="00E3315C">
        <w:rPr>
          <w:rFonts w:ascii="Times New Roman" w:hAnsi="Times New Roman" w:cs="Times New Roman"/>
          <w:sz w:val="28"/>
          <w:szCs w:val="28"/>
        </w:rPr>
        <w:t>L’estensione dell’accordo anche a creditori non finanziari né professionali porterà alla ribalta il teme se, e in quale misura, debba essere rispettata una qualche forma di par condicio e di gr</w:t>
      </w:r>
      <w:r w:rsidR="00EA225D" w:rsidRPr="00E3315C">
        <w:rPr>
          <w:rFonts w:ascii="Times New Roman" w:hAnsi="Times New Roman" w:cs="Times New Roman"/>
          <w:sz w:val="28"/>
          <w:szCs w:val="28"/>
        </w:rPr>
        <w:t xml:space="preserve">aduazione dei crediti.  </w:t>
      </w:r>
    </w:p>
    <w:p w:rsidR="00977B2A" w:rsidRPr="005E0860" w:rsidRDefault="005E0860" w:rsidP="00C17D16">
      <w:pPr>
        <w:pStyle w:val="Default"/>
        <w:spacing w:line="520" w:lineRule="atLeast"/>
        <w:jc w:val="both"/>
      </w:pPr>
      <w:r w:rsidRPr="005E0860">
        <w:t xml:space="preserve">L’art. 59 stabilisce </w:t>
      </w:r>
      <w:r w:rsidRPr="005E0860">
        <w:t xml:space="preserve">poi </w:t>
      </w:r>
      <w:r w:rsidRPr="005E0860">
        <w:t xml:space="preserve">tre principi essenziali </w:t>
      </w:r>
      <w:r w:rsidRPr="005E0860">
        <w:rPr>
          <w:b/>
          <w:bCs/>
          <w:i/>
          <w:iCs/>
        </w:rPr>
        <w:t xml:space="preserve">(i) </w:t>
      </w:r>
      <w:r w:rsidRPr="005E0860">
        <w:t xml:space="preserve">l’applicazione dell’art. 1239 c.c. ai creditori aderenti ad un accordo di ristrutturazione, </w:t>
      </w:r>
      <w:r w:rsidRPr="005E0860">
        <w:rPr>
          <w:b/>
          <w:bCs/>
          <w:i/>
          <w:iCs/>
        </w:rPr>
        <w:t>(ii)</w:t>
      </w:r>
      <w:r w:rsidRPr="005E0860">
        <w:t xml:space="preserve"> la conservazione, in caso di estensione dell’efficacia degli accordi di ristrutturazione ai creditori non aderenti, dei diritti di quest’ultimi verso i coobbligati, i fideiussori del debitore e gli obbligati </w:t>
      </w:r>
      <w:bookmarkStart w:id="0" w:name="_GoBack"/>
      <w:bookmarkEnd w:id="0"/>
      <w:r w:rsidRPr="005E0860">
        <w:t xml:space="preserve">in via di regresso, e </w:t>
      </w:r>
      <w:r w:rsidRPr="005E0860">
        <w:rPr>
          <w:b/>
          <w:bCs/>
          <w:i/>
          <w:iCs/>
        </w:rPr>
        <w:t>(iii)</w:t>
      </w:r>
      <w:r w:rsidRPr="005E0860">
        <w:t xml:space="preserve"> l’estensione, salvo patto contrario, degli effetti dell’accordo di ristrutturazione ai soci illimitatamente responsabili, i quali, se hanno prestato garanzia continuano a rispondere per tale diverso titolo.</w:t>
      </w:r>
    </w:p>
    <w:p w:rsidR="005E0860" w:rsidRPr="005E0860" w:rsidRDefault="005E0860" w:rsidP="00C17D16">
      <w:pPr>
        <w:pStyle w:val="Default"/>
        <w:spacing w:line="520" w:lineRule="atLeast"/>
        <w:jc w:val="both"/>
      </w:pPr>
    </w:p>
    <w:p w:rsidR="009866F0" w:rsidRDefault="005E0860" w:rsidP="00C17D16">
      <w:pPr>
        <w:pStyle w:val="Default"/>
        <w:spacing w:line="520" w:lineRule="atLeast"/>
        <w:jc w:val="both"/>
        <w:rPr>
          <w:sz w:val="28"/>
          <w:szCs w:val="28"/>
        </w:rPr>
      </w:pPr>
      <w:r>
        <w:rPr>
          <w:sz w:val="28"/>
          <w:szCs w:val="28"/>
        </w:rPr>
        <w:t>Torino, novembre 2019</w:t>
      </w:r>
    </w:p>
    <w:p w:rsidR="005E0860" w:rsidRPr="00E3315C" w:rsidRDefault="005E0860" w:rsidP="00C17D16">
      <w:pPr>
        <w:pStyle w:val="Default"/>
        <w:spacing w:line="520" w:lineRule="atLeast"/>
        <w:jc w:val="right"/>
        <w:rPr>
          <w:sz w:val="28"/>
          <w:szCs w:val="28"/>
        </w:rPr>
      </w:pPr>
      <w:r>
        <w:rPr>
          <w:sz w:val="28"/>
          <w:szCs w:val="28"/>
        </w:rPr>
        <w:t>Dott. Cecilia Marino</w:t>
      </w:r>
    </w:p>
    <w:sectPr w:rsidR="005E0860" w:rsidRPr="00E3315C" w:rsidSect="00C20C4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7747F9"/>
    <w:multiLevelType w:val="hybridMultilevel"/>
    <w:tmpl w:val="53BA8D4E"/>
    <w:lvl w:ilvl="0" w:tplc="51B0586A">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proofState w:spelling="clean"/>
  <w:defaultTabStop w:val="708"/>
  <w:hyphenationZone w:val="283"/>
  <w:characterSpacingControl w:val="doNotCompress"/>
  <w:compat>
    <w:useFELayout/>
    <w:compatSetting w:name="compatibilityMode" w:uri="http://schemas.microsoft.com/office/word" w:val="12"/>
  </w:compat>
  <w:rsids>
    <w:rsidRoot w:val="00D83271"/>
    <w:rsid w:val="00051283"/>
    <w:rsid w:val="00076000"/>
    <w:rsid w:val="0007654F"/>
    <w:rsid w:val="00084CD1"/>
    <w:rsid w:val="000A2AC9"/>
    <w:rsid w:val="000B632E"/>
    <w:rsid w:val="000C5694"/>
    <w:rsid w:val="000F1E5F"/>
    <w:rsid w:val="00122269"/>
    <w:rsid w:val="00162E61"/>
    <w:rsid w:val="00162FA2"/>
    <w:rsid w:val="00190B15"/>
    <w:rsid w:val="00237FB6"/>
    <w:rsid w:val="002D03EE"/>
    <w:rsid w:val="00310780"/>
    <w:rsid w:val="00330A35"/>
    <w:rsid w:val="003630FB"/>
    <w:rsid w:val="00363CA9"/>
    <w:rsid w:val="00367CBC"/>
    <w:rsid w:val="00375216"/>
    <w:rsid w:val="003A61E0"/>
    <w:rsid w:val="003F0551"/>
    <w:rsid w:val="004215E1"/>
    <w:rsid w:val="00447DCB"/>
    <w:rsid w:val="0045078C"/>
    <w:rsid w:val="00471DC9"/>
    <w:rsid w:val="004733F0"/>
    <w:rsid w:val="00473C13"/>
    <w:rsid w:val="004933A0"/>
    <w:rsid w:val="004B4A07"/>
    <w:rsid w:val="004B5305"/>
    <w:rsid w:val="004E1B84"/>
    <w:rsid w:val="004F0EE8"/>
    <w:rsid w:val="0050027C"/>
    <w:rsid w:val="00501F55"/>
    <w:rsid w:val="00506B81"/>
    <w:rsid w:val="00524518"/>
    <w:rsid w:val="00561728"/>
    <w:rsid w:val="00561C76"/>
    <w:rsid w:val="00577CDA"/>
    <w:rsid w:val="005928D4"/>
    <w:rsid w:val="005A5705"/>
    <w:rsid w:val="005B2B3C"/>
    <w:rsid w:val="005E0860"/>
    <w:rsid w:val="005E373D"/>
    <w:rsid w:val="005E67CA"/>
    <w:rsid w:val="00630584"/>
    <w:rsid w:val="00664679"/>
    <w:rsid w:val="006651D3"/>
    <w:rsid w:val="0067177F"/>
    <w:rsid w:val="00681065"/>
    <w:rsid w:val="00684A11"/>
    <w:rsid w:val="006874CE"/>
    <w:rsid w:val="006C6E69"/>
    <w:rsid w:val="006C790E"/>
    <w:rsid w:val="00715449"/>
    <w:rsid w:val="007257B5"/>
    <w:rsid w:val="007310EB"/>
    <w:rsid w:val="00733E4B"/>
    <w:rsid w:val="00754786"/>
    <w:rsid w:val="007744DD"/>
    <w:rsid w:val="0079744D"/>
    <w:rsid w:val="007A1934"/>
    <w:rsid w:val="007A2F66"/>
    <w:rsid w:val="007C746A"/>
    <w:rsid w:val="007C78BF"/>
    <w:rsid w:val="007D6308"/>
    <w:rsid w:val="00807B92"/>
    <w:rsid w:val="008221BB"/>
    <w:rsid w:val="00834B52"/>
    <w:rsid w:val="00836219"/>
    <w:rsid w:val="00837179"/>
    <w:rsid w:val="00846B28"/>
    <w:rsid w:val="0085721B"/>
    <w:rsid w:val="008637DA"/>
    <w:rsid w:val="00871B85"/>
    <w:rsid w:val="00871D6A"/>
    <w:rsid w:val="00897CBB"/>
    <w:rsid w:val="008E533D"/>
    <w:rsid w:val="008F6B1B"/>
    <w:rsid w:val="00942EB0"/>
    <w:rsid w:val="00950CE2"/>
    <w:rsid w:val="009627E4"/>
    <w:rsid w:val="009722FB"/>
    <w:rsid w:val="00977B2A"/>
    <w:rsid w:val="009866F0"/>
    <w:rsid w:val="009A1082"/>
    <w:rsid w:val="009B6103"/>
    <w:rsid w:val="009B761B"/>
    <w:rsid w:val="009C7006"/>
    <w:rsid w:val="009D0783"/>
    <w:rsid w:val="009D4716"/>
    <w:rsid w:val="009F228D"/>
    <w:rsid w:val="009F4418"/>
    <w:rsid w:val="00A01CE9"/>
    <w:rsid w:val="00A048B8"/>
    <w:rsid w:val="00A10A65"/>
    <w:rsid w:val="00A144B5"/>
    <w:rsid w:val="00A22D7B"/>
    <w:rsid w:val="00A3743C"/>
    <w:rsid w:val="00A611DE"/>
    <w:rsid w:val="00A639AA"/>
    <w:rsid w:val="00B0227A"/>
    <w:rsid w:val="00B065E6"/>
    <w:rsid w:val="00B27594"/>
    <w:rsid w:val="00B55B1A"/>
    <w:rsid w:val="00B6576A"/>
    <w:rsid w:val="00BA1CE0"/>
    <w:rsid w:val="00BB099A"/>
    <w:rsid w:val="00BB0FBE"/>
    <w:rsid w:val="00C012C4"/>
    <w:rsid w:val="00C14E74"/>
    <w:rsid w:val="00C17D16"/>
    <w:rsid w:val="00C20C4B"/>
    <w:rsid w:val="00C21789"/>
    <w:rsid w:val="00C97691"/>
    <w:rsid w:val="00CE1A5B"/>
    <w:rsid w:val="00CF4EAD"/>
    <w:rsid w:val="00CF6B3A"/>
    <w:rsid w:val="00D2321D"/>
    <w:rsid w:val="00D27E3D"/>
    <w:rsid w:val="00D310AC"/>
    <w:rsid w:val="00D74F34"/>
    <w:rsid w:val="00D83271"/>
    <w:rsid w:val="00D93E4D"/>
    <w:rsid w:val="00D97B6F"/>
    <w:rsid w:val="00DA7833"/>
    <w:rsid w:val="00DC718D"/>
    <w:rsid w:val="00DE2369"/>
    <w:rsid w:val="00DE3322"/>
    <w:rsid w:val="00DE6CF9"/>
    <w:rsid w:val="00DF02B1"/>
    <w:rsid w:val="00DF4968"/>
    <w:rsid w:val="00DF6A6D"/>
    <w:rsid w:val="00E03424"/>
    <w:rsid w:val="00E3315C"/>
    <w:rsid w:val="00E603CB"/>
    <w:rsid w:val="00E6151F"/>
    <w:rsid w:val="00E818B3"/>
    <w:rsid w:val="00EA1F78"/>
    <w:rsid w:val="00EA224F"/>
    <w:rsid w:val="00EA225D"/>
    <w:rsid w:val="00EA27CA"/>
    <w:rsid w:val="00EA727E"/>
    <w:rsid w:val="00EC1E2F"/>
    <w:rsid w:val="00F22F92"/>
    <w:rsid w:val="00F3214D"/>
    <w:rsid w:val="00F364A7"/>
    <w:rsid w:val="00F73E3E"/>
    <w:rsid w:val="00FA10E9"/>
    <w:rsid w:val="00FC2121"/>
    <w:rsid w:val="00FE671F"/>
    <w:rsid w:val="00FF44E6"/>
    <w:rsid w:val="00FF4CF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332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447DCB"/>
    <w:pPr>
      <w:autoSpaceDE w:val="0"/>
      <w:autoSpaceDN w:val="0"/>
      <w:adjustRightInd w:val="0"/>
      <w:spacing w:after="0" w:line="240" w:lineRule="auto"/>
    </w:pPr>
    <w:rPr>
      <w:rFonts w:ascii="Times New Roman" w:hAnsi="Times New Roman" w:cs="Times New Roman"/>
      <w:color w:val="000000"/>
      <w:sz w:val="24"/>
      <w:szCs w:val="24"/>
    </w:rPr>
  </w:style>
  <w:style w:type="character" w:styleId="Collegamentoipertestuale">
    <w:name w:val="Hyperlink"/>
    <w:basedOn w:val="Carpredefinitoparagrafo"/>
    <w:uiPriority w:val="99"/>
    <w:semiHidden/>
    <w:unhideWhenUsed/>
    <w:rsid w:val="008637DA"/>
    <w:rPr>
      <w:color w:val="0000FF"/>
      <w:u w:val="single"/>
    </w:rPr>
  </w:style>
  <w:style w:type="paragraph" w:styleId="Testofumetto">
    <w:name w:val="Balloon Text"/>
    <w:basedOn w:val="Normale"/>
    <w:link w:val="TestofumettoCarattere"/>
    <w:uiPriority w:val="99"/>
    <w:semiHidden/>
    <w:unhideWhenUsed/>
    <w:rsid w:val="007A193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A1934"/>
    <w:rPr>
      <w:rFonts w:ascii="Tahoma" w:hAnsi="Tahoma" w:cs="Tahoma"/>
      <w:sz w:val="16"/>
      <w:szCs w:val="16"/>
    </w:rPr>
  </w:style>
  <w:style w:type="paragraph" w:styleId="Paragrafoelenco">
    <w:name w:val="List Paragraph"/>
    <w:basedOn w:val="Normale"/>
    <w:uiPriority w:val="34"/>
    <w:qFormat/>
    <w:rsid w:val="00EA27C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447DCB"/>
    <w:pPr>
      <w:autoSpaceDE w:val="0"/>
      <w:autoSpaceDN w:val="0"/>
      <w:adjustRightInd w:val="0"/>
      <w:spacing w:after="0" w:line="240" w:lineRule="auto"/>
    </w:pPr>
    <w:rPr>
      <w:rFonts w:ascii="Times New Roman" w:hAnsi="Times New Roman" w:cs="Times New Roman"/>
      <w:color w:val="000000"/>
      <w:sz w:val="24"/>
      <w:szCs w:val="24"/>
    </w:rPr>
  </w:style>
  <w:style w:type="character" w:styleId="Collegamentoipertestuale">
    <w:name w:val="Hyperlink"/>
    <w:basedOn w:val="Carpredefinitoparagrafo"/>
    <w:uiPriority w:val="99"/>
    <w:semiHidden/>
    <w:unhideWhenUsed/>
    <w:rsid w:val="008637DA"/>
    <w:rPr>
      <w:color w:val="0000FF"/>
      <w:u w:val="single"/>
    </w:rPr>
  </w:style>
  <w:style w:type="paragraph" w:styleId="Testofumetto">
    <w:name w:val="Balloon Text"/>
    <w:basedOn w:val="Normale"/>
    <w:link w:val="TestofumettoCarattere"/>
    <w:uiPriority w:val="99"/>
    <w:semiHidden/>
    <w:unhideWhenUsed/>
    <w:rsid w:val="007A193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A19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5291108">
      <w:bodyDiv w:val="1"/>
      <w:marLeft w:val="0"/>
      <w:marRight w:val="0"/>
      <w:marTop w:val="0"/>
      <w:marBottom w:val="0"/>
      <w:divBdr>
        <w:top w:val="none" w:sz="0" w:space="0" w:color="auto"/>
        <w:left w:val="none" w:sz="0" w:space="0" w:color="auto"/>
        <w:bottom w:val="none" w:sz="0" w:space="0" w:color="auto"/>
        <w:right w:val="none" w:sz="0" w:space="0" w:color="auto"/>
      </w:divBdr>
    </w:div>
    <w:div w:id="1878350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13</Pages>
  <Words>3335</Words>
  <Characters>19011</Characters>
  <Application>Microsoft Office Word</Application>
  <DocSecurity>0</DocSecurity>
  <Lines>158</Lines>
  <Paragraphs>44</Paragraphs>
  <ScaleCrop>false</ScaleCrop>
  <HeadingPairs>
    <vt:vector size="2" baseType="variant">
      <vt:variant>
        <vt:lpstr>Titolo</vt:lpstr>
      </vt:variant>
      <vt:variant>
        <vt:i4>1</vt:i4>
      </vt:variant>
    </vt:vector>
  </HeadingPairs>
  <TitlesOfParts>
    <vt:vector size="1" baseType="lpstr">
      <vt:lpstr/>
    </vt:vector>
  </TitlesOfParts>
  <Company>Ministero di Giustizia</Company>
  <LinksUpToDate>false</LinksUpToDate>
  <CharactersWithSpaces>22302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Cecilia Marino</cp:lastModifiedBy>
  <cp:revision>5</cp:revision>
  <cp:lastPrinted>2019-10-09T13:44:00Z</cp:lastPrinted>
  <dcterms:created xsi:type="dcterms:W3CDTF">2019-11-11T07:17:00Z</dcterms:created>
  <dcterms:modified xsi:type="dcterms:W3CDTF">2019-11-11T08:06:00Z</dcterms:modified>
</cp:coreProperties>
</file>